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val="0"/>
          <w:bCs w:val="0"/>
          <w:sz w:val="24"/>
        </w:rPr>
      </w:pPr>
    </w:p>
    <w:p>
      <w:pPr>
        <w:spacing w:line="360" w:lineRule="auto"/>
        <w:jc w:val="center"/>
        <w:rPr>
          <w:rFonts w:hint="default" w:ascii="Times New Roman" w:hAnsi="Times New Roman" w:cs="Times New Roman"/>
          <w:b w:val="0"/>
          <w:bCs w:val="0"/>
          <w:sz w:val="24"/>
        </w:rPr>
      </w:pPr>
    </w:p>
    <w:p>
      <w:pPr>
        <w:spacing w:line="360" w:lineRule="auto"/>
        <w:jc w:val="center"/>
        <w:rPr>
          <w:rFonts w:hint="default" w:ascii="Times New Roman" w:hAnsi="Times New Roman" w:cs="Times New Roman"/>
          <w:b w:val="0"/>
          <w:bCs w:val="0"/>
          <w:sz w:val="24"/>
        </w:rPr>
      </w:pPr>
    </w:p>
    <w:p>
      <w:pPr>
        <w:pStyle w:val="2"/>
        <w:rPr>
          <w:rFonts w:hint="default" w:ascii="Times New Roman" w:hAnsi="Times New Roman" w:cs="Times New Roman"/>
          <w:b w:val="0"/>
          <w:bCs w:val="0"/>
          <w:sz w:val="24"/>
        </w:rPr>
      </w:pPr>
    </w:p>
    <w:p>
      <w:pPr>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小标宋简体" w:cs="Times New Roman"/>
          <w:b w:val="0"/>
          <w:bCs w:val="0"/>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2023年度锡林郭勒盟发展和改革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委员会（本级）公开文档</w:t>
      </w:r>
    </w:p>
    <w:p>
      <w:pPr>
        <w:spacing w:line="360" w:lineRule="auto"/>
        <w:jc w:val="center"/>
        <w:rPr>
          <w:rFonts w:hint="default" w:ascii="Times New Roman" w:hAnsi="Times New Roman" w:cs="Times New Roman"/>
          <w:b w:val="0"/>
          <w:bCs w:val="0"/>
          <w:sz w:val="52"/>
          <w:szCs w:val="52"/>
        </w:rPr>
      </w:pPr>
    </w:p>
    <w:p>
      <w:pPr>
        <w:spacing w:line="360" w:lineRule="auto"/>
        <w:jc w:val="center"/>
        <w:rPr>
          <w:rFonts w:hint="default" w:ascii="Times New Roman" w:hAnsi="Times New Roman" w:cs="Times New Roman"/>
          <w:b w:val="0"/>
          <w:bCs w:val="0"/>
          <w:sz w:val="52"/>
          <w:szCs w:val="52"/>
        </w:rPr>
      </w:pPr>
    </w:p>
    <w:p>
      <w:pPr>
        <w:spacing w:line="360" w:lineRule="auto"/>
        <w:jc w:val="center"/>
        <w:rPr>
          <w:rFonts w:hint="default" w:ascii="Times New Roman" w:hAnsi="Times New Roman" w:cs="Times New Roman"/>
          <w:b w:val="0"/>
          <w:bCs w:val="0"/>
          <w:sz w:val="52"/>
          <w:szCs w:val="52"/>
        </w:rPr>
      </w:pPr>
    </w:p>
    <w:p>
      <w:pPr>
        <w:pStyle w:val="2"/>
        <w:rPr>
          <w:rFonts w:hint="default" w:ascii="Times New Roman" w:hAnsi="Times New Roman" w:cs="Times New Roman"/>
          <w:b w:val="0"/>
          <w:bCs w:val="0"/>
          <w:sz w:val="52"/>
          <w:szCs w:val="52"/>
        </w:rPr>
      </w:pPr>
    </w:p>
    <w:p>
      <w:pPr>
        <w:rPr>
          <w:rFonts w:hint="default" w:ascii="Times New Roman" w:hAnsi="Times New Roman" w:cs="Times New Roman"/>
          <w:b w:val="0"/>
          <w:bCs w:val="0"/>
          <w:sz w:val="52"/>
          <w:szCs w:val="52"/>
        </w:rPr>
      </w:pPr>
    </w:p>
    <w:p>
      <w:pPr>
        <w:rPr>
          <w:rFonts w:hint="default" w:ascii="Times New Roman" w:hAnsi="Times New Roman" w:cs="Times New Roman"/>
          <w:b w:val="0"/>
          <w:bCs w:val="0"/>
          <w:sz w:val="52"/>
          <w:szCs w:val="52"/>
        </w:rPr>
      </w:pPr>
    </w:p>
    <w:p>
      <w:pPr>
        <w:pStyle w:val="2"/>
        <w:rPr>
          <w:rFonts w:hint="default" w:ascii="Times New Roman" w:hAnsi="Times New Roman" w:cs="Times New Roman"/>
          <w:b w:val="0"/>
          <w:bCs w:val="0"/>
          <w:sz w:val="52"/>
          <w:szCs w:val="52"/>
        </w:rPr>
      </w:pPr>
    </w:p>
    <w:p>
      <w:pPr>
        <w:rPr>
          <w:rFonts w:hint="default" w:ascii="Times New Roman" w:hAnsi="Times New Roman" w:cs="Times New Roman"/>
          <w:b w:val="0"/>
          <w:bCs w:val="0"/>
          <w:sz w:val="52"/>
          <w:szCs w:val="52"/>
        </w:rPr>
      </w:pPr>
    </w:p>
    <w:p>
      <w:pPr>
        <w:pStyle w:val="2"/>
        <w:rPr>
          <w:rFonts w:hint="default" w:ascii="Times New Roman" w:hAnsi="Times New Roman" w:cs="Times New Roman"/>
        </w:rPr>
      </w:pPr>
    </w:p>
    <w:p>
      <w:pPr>
        <w:pStyle w:val="2"/>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单位名称：锡林郭勒盟发展和改革委员会（本级）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单位负责人：张学军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财务负责人：</w:t>
      </w:r>
      <w:r>
        <w:rPr>
          <w:rFonts w:hint="eastAsia" w:eastAsia="仿宋" w:cs="Times New Roman"/>
          <w:b w:val="0"/>
          <w:bCs w:val="0"/>
          <w:sz w:val="32"/>
          <w:szCs w:val="32"/>
          <w:lang w:eastAsia="zh-CN"/>
        </w:rPr>
        <w:t>许强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编制人：</w:t>
      </w:r>
      <w:r>
        <w:rPr>
          <w:rFonts w:hint="default" w:ascii="Times New Roman" w:hAnsi="Times New Roman" w:eastAsia="仿宋" w:cs="Times New Roman"/>
          <w:b w:val="0"/>
          <w:bCs w:val="0"/>
          <w:sz w:val="32"/>
          <w:szCs w:val="32"/>
          <w:lang w:eastAsia="zh-CN"/>
        </w:rPr>
        <w:t>温都日干</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sz w:val="32"/>
          <w:szCs w:val="32"/>
          <w:lang w:val="en-US" w:eastAsia="zh-CN"/>
        </w:rPr>
        <w:sectPr>
          <w:footerReference r:id="rId3" w:type="default"/>
          <w:pgSz w:w="11906" w:h="16838"/>
          <w:pgMar w:top="1440" w:right="1800" w:bottom="1440" w:left="1800" w:header="0" w:footer="720" w:gutter="0"/>
          <w:cols w:space="425" w:num="1"/>
          <w:docGrid w:type="lines" w:linePitch="312" w:charSpace="0"/>
        </w:sectPr>
      </w:pPr>
      <w:r>
        <w:rPr>
          <w:rFonts w:hint="default" w:ascii="Times New Roman" w:hAnsi="Times New Roman" w:eastAsia="仿宋" w:cs="Times New Roman"/>
          <w:b w:val="0"/>
          <w:bCs w:val="0"/>
          <w:sz w:val="32"/>
          <w:szCs w:val="32"/>
        </w:rPr>
        <w:t>报送日期：2024年11月</w:t>
      </w:r>
      <w:r>
        <w:rPr>
          <w:rFonts w:hint="default" w:ascii="Times New Roman" w:hAnsi="Times New Roman" w:eastAsia="仿宋" w:cs="Times New Roman"/>
          <w:b w:val="0"/>
          <w:bCs w:val="0"/>
          <w:sz w:val="32"/>
          <w:szCs w:val="32"/>
          <w:lang w:val="en-US" w:eastAsia="zh-CN"/>
        </w:rPr>
        <w:t>7日</w:t>
      </w: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44"/>
          <w:szCs w:val="44"/>
        </w:rPr>
      </w:pPr>
      <w:bookmarkStart w:id="0" w:name="a000"/>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目</w:t>
      </w:r>
      <w:r>
        <w:rPr>
          <w:rFonts w:hint="default" w:ascii="Times New Roman" w:hAnsi="Times New Roman" w:eastAsia="方正小标宋简体" w:cs="Times New Roman"/>
          <w:b w:val="0"/>
          <w:bCs w:val="0"/>
          <w:kern w:val="0"/>
          <w:sz w:val="44"/>
          <w:szCs w:val="44"/>
          <w:lang w:val="en"/>
        </w:rPr>
        <w:t xml:space="preserve">    </w:t>
      </w:r>
      <w:r>
        <w:rPr>
          <w:rFonts w:hint="default" w:ascii="Times New Roman" w:hAnsi="Times New Roman" w:eastAsia="方正小标宋简体" w:cs="Times New Roman"/>
          <w:b w:val="0"/>
          <w:bCs w:val="0"/>
          <w:kern w:val="0"/>
          <w:sz w:val="44"/>
          <w:szCs w:val="44"/>
        </w:rPr>
        <w:t>录</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第一部分</w:t>
      </w:r>
      <w:r>
        <w:rPr>
          <w:rFonts w:hint="default" w:ascii="Times New Roman" w:hAnsi="Times New Roman" w:eastAsia="黑体" w:cs="Times New Roman"/>
          <w:b w:val="0"/>
          <w:bCs w:val="0"/>
          <w:kern w:val="0"/>
          <w:sz w:val="32"/>
          <w:szCs w:val="32"/>
          <w:lang w:val="en"/>
        </w:rPr>
        <w:t xml:space="preserve"> 单位</w:t>
      </w:r>
      <w:r>
        <w:rPr>
          <w:rFonts w:hint="default" w:ascii="Times New Roman" w:hAnsi="Times New Roman" w:eastAsia="黑体" w:cs="Times New Roman"/>
          <w:b w:val="0"/>
          <w:bCs w:val="0"/>
          <w:kern w:val="0"/>
          <w:sz w:val="32"/>
          <w:szCs w:val="32"/>
        </w:rPr>
        <w:t>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一、主要职能、职责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二、</w:t>
      </w:r>
      <w:r>
        <w:rPr>
          <w:rFonts w:hint="default" w:ascii="Times New Roman" w:hAnsi="Times New Roman" w:eastAsia="仿宋" w:cs="Times New Roman"/>
          <w:b w:val="0"/>
          <w:bCs w:val="0"/>
          <w:spacing w:val="13"/>
          <w:sz w:val="32"/>
          <w:szCs w:val="32"/>
          <w:lang w:val="en" w:eastAsia="zh-CN"/>
        </w:rPr>
        <w:t>单位</w:t>
      </w:r>
      <w:r>
        <w:rPr>
          <w:rFonts w:hint="default" w:ascii="Times New Roman" w:hAnsi="Times New Roman" w:eastAsia="仿宋" w:cs="Times New Roman"/>
          <w:b w:val="0"/>
          <w:bCs w:val="0"/>
          <w:spacing w:val="13"/>
          <w:sz w:val="32"/>
          <w:szCs w:val="32"/>
          <w:lang w:val="en-US" w:eastAsia="zh-CN"/>
        </w:rPr>
        <w:t>机构设置及决算单位构成情况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三、2023年度</w:t>
      </w:r>
      <w:r>
        <w:rPr>
          <w:rFonts w:hint="default" w:ascii="Times New Roman" w:hAnsi="Times New Roman" w:eastAsia="仿宋" w:cs="Times New Roman"/>
          <w:b w:val="0"/>
          <w:bCs w:val="0"/>
          <w:spacing w:val="13"/>
          <w:sz w:val="32"/>
          <w:szCs w:val="32"/>
          <w:lang w:val="en" w:eastAsia="zh-CN"/>
        </w:rPr>
        <w:t>单位</w:t>
      </w:r>
      <w:r>
        <w:rPr>
          <w:rFonts w:hint="default" w:ascii="Times New Roman" w:hAnsi="Times New Roman" w:eastAsia="仿宋" w:cs="Times New Roman"/>
          <w:b w:val="0"/>
          <w:bCs w:val="0"/>
          <w:spacing w:val="13"/>
          <w:sz w:val="32"/>
          <w:szCs w:val="32"/>
          <w:lang w:val="en-US" w:eastAsia="zh-CN"/>
        </w:rPr>
        <w:t>主要工作完成情况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第二部分</w:t>
      </w:r>
      <w:r>
        <w:rPr>
          <w:rFonts w:hint="default" w:ascii="Times New Roman" w:hAnsi="Times New Roman" w:eastAsia="黑体" w:cs="Times New Roman"/>
          <w:b w:val="0"/>
          <w:bCs w:val="0"/>
          <w:kern w:val="0"/>
          <w:sz w:val="32"/>
          <w:szCs w:val="32"/>
          <w:lang w:val="en"/>
        </w:rPr>
        <w:t xml:space="preserve"> 单位</w:t>
      </w:r>
      <w:r>
        <w:rPr>
          <w:rFonts w:hint="default" w:ascii="Times New Roman" w:hAnsi="Times New Roman" w:eastAsia="黑体" w:cs="Times New Roman"/>
          <w:b w:val="0"/>
          <w:bCs w:val="0"/>
          <w:kern w:val="0"/>
          <w:sz w:val="32"/>
          <w:szCs w:val="32"/>
        </w:rPr>
        <w:t>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二、收入决算情况说明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三、支出决算情况说明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七、一般公共预算财政拨款项目支出决算情况说明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八、财政拨款“三公”经费支出决算情况说明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九、政府性基金预算财政拨款支出决算情况说明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十一、机构运行经费支出决算情况说明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十二、政府采购支出决算情况说明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十三、国有资产占用情况说明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十四、预算绩效情况说明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第三部分</w:t>
      </w:r>
      <w:r>
        <w:rPr>
          <w:rFonts w:hint="default" w:ascii="Times New Roman" w:hAnsi="Times New Roman" w:eastAsia="黑体" w:cs="Times New Roman"/>
          <w:b w:val="0"/>
          <w:bCs w:val="0"/>
          <w:kern w:val="0"/>
          <w:sz w:val="32"/>
          <w:szCs w:val="32"/>
          <w:lang w:val="en"/>
        </w:rPr>
        <w:t xml:space="preserve"> </w:t>
      </w:r>
      <w:r>
        <w:rPr>
          <w:rFonts w:hint="default" w:ascii="Times New Roman" w:hAnsi="Times New Roman" w:eastAsia="黑体" w:cs="Times New Roman"/>
          <w:b w:val="0"/>
          <w:bCs w:val="0"/>
          <w:kern w:val="0"/>
          <w:sz w:val="32"/>
          <w:szCs w:val="32"/>
        </w:rPr>
        <w:t>名词解释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第四部分</w:t>
      </w:r>
      <w:r>
        <w:rPr>
          <w:rFonts w:hint="default" w:ascii="Times New Roman" w:hAnsi="Times New Roman" w:eastAsia="黑体" w:cs="Times New Roman"/>
          <w:b w:val="0"/>
          <w:bCs w:val="0"/>
          <w:kern w:val="0"/>
          <w:sz w:val="32"/>
          <w:szCs w:val="32"/>
          <w:lang w:val="en"/>
        </w:rPr>
        <w:t xml:space="preserve"> </w:t>
      </w:r>
      <w:r>
        <w:rPr>
          <w:rFonts w:hint="default" w:ascii="Times New Roman" w:hAnsi="Times New Roman" w:eastAsia="黑体" w:cs="Times New Roman"/>
          <w:b w:val="0"/>
          <w:bCs w:val="0"/>
          <w:kern w:val="0"/>
          <w:sz w:val="32"/>
          <w:szCs w:val="32"/>
        </w:rPr>
        <w:t>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第五部分</w:t>
      </w:r>
      <w:r>
        <w:rPr>
          <w:rFonts w:hint="default" w:ascii="Times New Roman" w:hAnsi="Times New Roman" w:eastAsia="黑体" w:cs="Times New Roman"/>
          <w:b w:val="0"/>
          <w:bCs w:val="0"/>
          <w:kern w:val="0"/>
          <w:sz w:val="32"/>
          <w:szCs w:val="32"/>
          <w:lang w:val="en"/>
        </w:rPr>
        <w:t xml:space="preserve"> 单位</w:t>
      </w:r>
      <w:r>
        <w:rPr>
          <w:rFonts w:hint="default" w:ascii="Times New Roman" w:hAnsi="Times New Roman" w:eastAsia="黑体" w:cs="Times New Roman"/>
          <w:b w:val="0"/>
          <w:bCs w:val="0"/>
          <w:kern w:val="0"/>
          <w:sz w:val="32"/>
          <w:szCs w:val="32"/>
        </w:rPr>
        <w:t>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一、收入支出决算总表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二、收入决算表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三、支出决算表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四、财政拨款收入支出决算总表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七、一般公共预算财政拨款项目支出决算明细表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十、财政拨款“三公”经费支出决算表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十一、机构运行经费支出、国有资产占用情况及政府采购支出信息表</w:t>
      </w:r>
    </w:p>
    <w:p>
      <w:pPr>
        <w:rPr>
          <w:rFonts w:hint="default" w:ascii="Times New Roman" w:hAnsi="Times New Roman" w:eastAsia="fang_song_gb2312" w:cs="Times New Roman"/>
          <w:b w:val="0"/>
          <w:bCs w:val="0"/>
          <w:kern w:val="0"/>
          <w:sz w:val="27"/>
          <w:szCs w:val="27"/>
        </w:rPr>
      </w:pPr>
      <w:r>
        <w:rPr>
          <w:rFonts w:hint="default" w:ascii="Times New Roman" w:hAnsi="Times New Roman" w:eastAsia="fang_song_gb2312" w:cs="Times New Roman"/>
          <w:b w:val="0"/>
          <w:bCs w:val="0"/>
          <w:kern w:val="0"/>
          <w:sz w:val="27"/>
          <w:szCs w:val="27"/>
        </w:rPr>
        <w:br w:type="page"/>
      </w: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第一部分</w:t>
      </w:r>
      <w:r>
        <w:rPr>
          <w:rFonts w:hint="default" w:ascii="Times New Roman" w:hAnsi="Times New Roman" w:eastAsia="方正小标宋简体" w:cs="Times New Roman"/>
          <w:b w:val="0"/>
          <w:bCs w:val="0"/>
          <w:kern w:val="0"/>
          <w:sz w:val="32"/>
          <w:szCs w:val="32"/>
          <w:lang w:val="en"/>
        </w:rPr>
        <w:t xml:space="preserve"> </w:t>
      </w:r>
      <w:r>
        <w:rPr>
          <w:rFonts w:hint="default" w:ascii="Times New Roman" w:hAnsi="Times New Roman" w:eastAsia="方正小标宋简体" w:cs="Times New Roman"/>
          <w:b w:val="0"/>
          <w:bCs w:val="0"/>
          <w:kern w:val="0"/>
          <w:sz w:val="32"/>
          <w:szCs w:val="32"/>
        </w:rPr>
        <w:t>单位概况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一、主要职能、职责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第一条根据自治区党委、自治区人民政府批准的《锡林郭勒盟机构改革方案》和盟委办、行署办印发的《锡林郭勒盟机构改革实施意见》，制定本规定。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第二条锡林郭勒盟发展和改革委员会是盟行署工作部门，为正处级，加挂盟粮食和物资储备局牌子。盟委财经委员会办公室设在盟发展和改革委员会，负责盟委财经委员会日常工作。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第三条盟发展和改革委员会贯彻落实党中央关于发展和改革工作的方针政策，落实自治区党委、盟委相关决策和部署，在履行职责过程中坚持和加强党对发展和改革工作的集中统一领导。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一）贯彻落实国家、自治区有关发展和改革方面的法律法规政策。拟订并组织实施国民经济和社会发展中长期规划和年度计划。牵头组织统一规划体系建设，负责盟级专项规划、区域规划、空间规划与全盟总体发展规划的统筹衔接。提出加快建设现代化经济体系，推动高质量发展的总体目标、重大任务以及相关政策。组织开展对重大规划、重大政策和重大工程评估督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二）统筹提出国民经济和社会发展主要目标，预测预警宏观经济和社会发展趋势，提出宏观调控政策建议。负责将安全生产工作纳入国民经济和社会发展规划，并对规划实施情况进行评估，支持安全生产基础设施和技术支撑体系建设。综合协调宏观经济改革，牵头研究宏观经济应对措施，会同有关部门调解经济运行，协调解决经济运行中的重大问题。组织实施有关价格政策，组织制定权限内主要商品、服务价格和重要收费标准，参与拟订财政政策和土地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三）指导推进和综合协调经济体制改革有关工作，提出相关改革建议。牵头推进供给侧结构性改革，协调推进产权制度和要素市场化配置改革，推动完善基本经济制度和现代市场体系建设。会同相关部门组织实施市场准入负面清单制度，推进民营经济发展，研究拟订推进优化营商环境的政策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（四）按照管行业必须管安全、管业务必须管安全、管生产经营必须管安全的要求，履行安全生产责任制规定的职责。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五）负责全社会投资的综合管理，促进全盟投资，拟订全社会固定资产投资总规模、结构调控目标和政策。积极争取中央和自治区财政性建设资金，按权限安排财政性建设资金，按规定权限审批、核准、备案以及审核上报重大项目。规划重大生产建设项目和生产力布局。拟订并推动落实鼓励民间投资改革措施，负责全盟重大项目推进和调度工作，协调解决项目建设过程中的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六）提出利用外资和境外投资的规划、总量平衡及结构优化的目标和政策建议，跟踪落实利用外资情况。参与实施“一带一路”建设，承担统筹协调“走出去”有关工作。会同有关部门推进落实外商投资准入负面清单，按照权限审核上报利用外资和境外投资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七）推动落实区域协调发展战略，新型城镇化战略，组织拟订相关区域规划和政策，贯彻落实国家和自治区重大区域发展战略规划，拟订本地区区域发展规划，统筹协调区域合作。有序承接发达地区产业转移。参与编制并推动实施新型城镇化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八）组织实施综合性产业政策，协调一二三产业发展重大问题并统筹衔接相关发展规划和重大政策。协调推进重大基础设施建设发展，组织拟订并推动实施服务业及现代化物流业战略规划和重大政策。综合研判消费变动趋势，推动实施促进消费的综合性政策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九）推动实施创新驱动发展战略，提出创新发展和培育经济发展新动能的政策。会同相关部门深入研究全盟重大科技项目突破，推动全盟高新技术产业和战略性新兴产业发展。协调产业开发、重大技术装备推广应用等方面的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负责跟踪研判涉及经济安全、生态安全、资源安全、科技安全、社会安全等各类风险隐患，提出相关工作建议。负责重要商品总量平衡和宏观调控，提出重要产品进出口调控建议并协调落实。根据盟救灾物资储备规划、品种目录和标准、年度购置计划，负责盟救灾物资的收储、轮换和日常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一）负责社会发展与国民经济发展的政策衔接，协调有关重大问题，组织拟订社会发展总体规划，统筹推进基本公共服务体系建设和收入分配制度改革。提出促进就业、完善社会保障与经济协调发展的政策建议，牵头开展社会信用体系建设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二）推进实施可持续发展战略，提出生态文明建设和改革，协调生态环保与修复、能源资源节约和综合利用等工作。推动健全生态保护补偿机制的政策措施，综合协调环保产业和清洁生产促进有关工作，提出能源消费控制目标任务并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（十三）研究提出贯彻落实国家、自治区经济建设与国防建设协调发展战略及规划的政策措施。协调有关重大问题，组织编制国民经济动员规划，协调和组织实施国民经济动员有关工作。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四）贯彻国家、自治区有关粮食流通、储备的政策。推动国家粮食企业改革。落实粮食安全行政首长负责制，负责政策性粮食监督检查。负责全盟粮食流通市场体制建设，执行粮食收购市场准入标准。负责粮食流通、经营的安全生产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五）组织拟订全盟粮食和物资储备总体规划和年度计划，制定相关管理制度，并负责组织实施。按照权限申请、审核上报粮食流通、物资储备有关基础设施建设项目并指导实施。提出粮食和物资的收购、销售及轮换计划，落实动用计划并负责组织实施。负责粮食仓储的安全生产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六）统筹能源、铁路、民航、公路、邮政等发展规划与总体规划的衔接平衡。会同有关部门开展能源发展战略、重大规划、重大产业政策、重大改革方案拟订和重大投资项目审核工作。提出重大基础设施布局建议并协调实施。按规定权限审核上报铁路、公路、民航、邮政普遍服务等基础设施建设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（十七）完成盟委、行署交办的其他任务。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二、部门机构设置及决算单位构成情况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1.根据单位职责分工，锡林郭勒盟发展和改革委员会（本级）内设机构包括办公室、人事教育科、国民经济综合科、发展规划与综合改革科、固定资产投资科、基础设施发展科、资源节约和环境保护科、农村牧区经济科、区域经济协作科、产业协调与服务业发展科、民营经济发展与经济贸易科、财政金融与利用外资科、社会发展科、价格收费管理科、成本调查监审科、新兴产业与高新技术科、粮食与物资储备科、粮食流通管理科、重点项目科、秘书科、离退休人员工作科。下属单位包括锡林郭勒盟宏观经济研究中心、锡林郭勒盟粮食和物资保障中心、锡林郭勒盟社会信用体系建设和价格认定服务中心、锡林郭勒盟区域经济合作和铁路民航发展服务中心、锡林郭勒盟节能降碳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 w:eastAsia="zh-CN"/>
        </w:rPr>
        <w:t>2.</w:t>
      </w:r>
      <w:r>
        <w:rPr>
          <w:rFonts w:hint="default" w:ascii="Times New Roman" w:hAnsi="Times New Roman" w:eastAsia="仿宋" w:cs="Times New Roman"/>
          <w:b w:val="0"/>
          <w:bCs w:val="0"/>
          <w:spacing w:val="13"/>
          <w:sz w:val="32"/>
          <w:szCs w:val="32"/>
          <w:lang w:val="en-US" w:eastAsia="zh-CN"/>
        </w:rPr>
        <w:t>从决算单位构成看，纳入锡林郭勒盟发展和改革委员会（本级）决算编制范围的预算单位共计1家，具体包括：锡林郭勒盟发展和改革委员会（本级）。详细情况见表：</w:t>
      </w:r>
    </w:p>
    <w:tbl>
      <w:tblPr>
        <w:tblStyle w:val="20"/>
        <w:tblW w:w="8131"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43"/>
        <w:gridCol w:w="5198"/>
        <w:gridCol w:w="219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46" w:hRule="atLeast"/>
          <w:tblHeader/>
          <w:jc w:val="center"/>
        </w:trPr>
        <w:tc>
          <w:tcPr>
            <w:tcW w:w="743" w:type="dxa"/>
            <w:tcBorders>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rPr>
              <w:t>序号</w:t>
            </w:r>
          </w:p>
        </w:tc>
        <w:tc>
          <w:tcPr>
            <w:tcW w:w="5198" w:type="dxa"/>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rPr>
              <w:t>单位名称</w:t>
            </w:r>
          </w:p>
        </w:tc>
        <w:tc>
          <w:tcPr>
            <w:tcW w:w="2190" w:type="dxa"/>
            <w:tcBorders>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743" w:type="dxa"/>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rPr>
              <w:t>1</w:t>
            </w:r>
          </w:p>
        </w:tc>
        <w:tc>
          <w:tcPr>
            <w:tcW w:w="5198"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lang w:eastAsia="zh-CN"/>
              </w:rPr>
              <w:t>锡林郭勒盟发展和改革委员会（本级）</w:t>
            </w:r>
          </w:p>
        </w:tc>
        <w:tc>
          <w:tcPr>
            <w:tcW w:w="2190" w:type="dxa"/>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 w:cs="Times New Roman"/>
                <w:b w:val="0"/>
                <w:bCs w:val="0"/>
                <w:i w:val="0"/>
                <w:iCs w:val="0"/>
                <w:smallCaps w:val="0"/>
                <w:color w:val="000000"/>
                <w:kern w:val="0"/>
                <w:sz w:val="22"/>
                <w:szCs w:val="22"/>
              </w:rPr>
            </w:pPr>
            <w:r>
              <w:rPr>
                <w:rFonts w:hint="default" w:ascii="Times New Roman" w:hAnsi="Times New Roman" w:eastAsia="仿宋" w:cs="Times New Roman"/>
                <w:b w:val="0"/>
                <w:bCs w:val="0"/>
                <w:i w:val="0"/>
                <w:iCs w:val="0"/>
                <w:smallCaps w:val="0"/>
                <w:color w:val="000000"/>
                <w:kern w:val="0"/>
                <w:sz w:val="22"/>
                <w:szCs w:val="22"/>
              </w:rPr>
              <w:t>财政拨款的行政单位</w:t>
            </w: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三、2023年度部门主要工作完成情况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color w:val="000000"/>
          <w:sz w:val="32"/>
          <w:szCs w:val="32"/>
          <w:highlight w:val="none"/>
          <w:lang w:val="en-US" w:eastAsia="zh-CN"/>
        </w:rPr>
        <w:t>（一）抓好经济运行，着力扩大有效投资。</w:t>
      </w:r>
      <w:r>
        <w:rPr>
          <w:rFonts w:hint="default" w:ascii="Times New Roman" w:hAnsi="Times New Roman" w:eastAsia="仿宋" w:cs="Times New Roman"/>
          <w:b w:val="0"/>
          <w:bCs w:val="0"/>
          <w:spacing w:val="13"/>
          <w:sz w:val="32"/>
          <w:szCs w:val="32"/>
          <w:lang w:val="en-US" w:eastAsia="zh-CN"/>
        </w:rPr>
        <w:t>一是加强经济运行调度。加强经济形势分析研判，密切跟踪经济运行中的新情况、新动向。全盟经济保持平稳增长态势，前三季度全盟地区生产总值831.59亿元，同比增长5.6%，居全区第8位。前三季度，全盟固定资产投资同比增长13.8%，较去年同期提高6.3个百分点，全年预计增长15%左右。二是积极争取上级资金支持。紧盯中央、自治区预算内资金、专项债券等政策机遇，有效缓解项目资金难题。2023年，发行两批专项债资金7.39亿元，已下达中央、自治区级预算内投资资金9.56亿元。三是推进重点项目建设。2023年实施盟级重点项目168个，截至10月底，168个项目手续已全部齐备；166个项目开复工建设，完成投资345亿元，投资完成占比93%，全年预计完成投资370亿元。全盟共储备亿元以上项目1039个，总投资8561亿元，完成立项233个。四是大力开展招商引资。将2023年定为“招商引资年”，制定印发《锡林郭勒盟招商引资年行动方案》。修订完善《招商引资工作考核奖励暂行办法》，兑现奖励资金900万元。积极筹办各类投促活动，举办了新型环保绿色建材、春季夏季锡林郭勒招商推介会、现代马产业招商引资洽谈会暨马产品推介会、辽阔草原文化旅游招商推介会、绿电+先进优质高载能产业专场推介会、氟化工新材料发展大会暨氟化工成果推介会、产业协作长三角推介会、2023锡林郭勒盟战略性新兴产业专场招商推介会等30场专题推介活动，盟委、行署主要领导带队赴多地与数十家行业头部企业“点对点”洽谈推介。编制16条产业链（能源领域生产性服务业除外）“两图两表两库”，累计对接300余家企业，达成初步合作意向45个。截至目前，签约项目205个，协议总投资超1800亿元。1—10月，全盟实施招商引资项目152个，引进到位资金209.2亿元，同比增长16%，居全区第7位。全年力争完成签约、落地招商引资项目300个以上，引进到位国内资金290亿元以上，同比增长15%以上的目标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color w:val="000000"/>
          <w:sz w:val="32"/>
          <w:szCs w:val="32"/>
          <w:highlight w:val="none"/>
          <w:lang w:val="en-US" w:eastAsia="zh-CN"/>
        </w:rPr>
        <w:t>（二）聚焦绿色发展，促进产业转型升级。</w:t>
      </w:r>
      <w:r>
        <w:rPr>
          <w:rFonts w:hint="default" w:ascii="Times New Roman" w:hAnsi="Times New Roman" w:eastAsia="仿宋" w:cs="Times New Roman"/>
          <w:b w:val="0"/>
          <w:bCs w:val="0"/>
          <w:spacing w:val="13"/>
          <w:sz w:val="32"/>
          <w:szCs w:val="32"/>
          <w:lang w:val="en-US" w:eastAsia="zh-CN"/>
        </w:rPr>
        <w:t>一是抓好“五大任务”。充分发挥盟筑牢我国北方生态安全屏障专项组牵头抓总、统筹协调作用，制定《锡林郭勒盟落实&lt;自治区建设我国北方重要生态安全屏障2023年重点任务清单&gt;台账》，细化提出59项落实举措，已完成34项，正在推进25项。二是抓实节能降碳工作。印发《锡林郭勒盟关于落实内蒙古自治区碳达峰碳中和工作的意见》《锡林郭勒盟碳达峰实施方案》《锡林郭勒盟碳达峰碳中和“1+N+X”政策体系编制工作实施方案》《锡林郭勒盟2023年碳达峰碳中和工作要点任务分工台账》《锡林郭勒盟2023年节能工作计划》等制度文件。开展锡林郭勒盟2021—2022年度节能目标责任评价和“十四五”节能工作中期评估。对重点用能企业能耗情况进行监测调度、分析研判，上半年全盟能源消费总量为602.68万吨标煤、同比增长11%，如果GDP增速按6%计算，全口径能耗强度增长4.9%。三是促进绿色集约发展。印发《锡林郭勒盟2023年推进全社会资源全面节约集约利用工作要点任务分工台账》《锡林郭勒盟&lt;关于进一步加强商品过度包装治理若干措施的通知&gt;重点任务清单台账》，牵头制定《锡林郭勒盟落实自治区〈关于建立健全生态产品价值实现机制的实施方案〉重点任务分工台账》。积极推进废弃汽车治理工作，联合四部门印发《锡林郭勒盟废弃汽车治理工作方案》及配套工作机制，共摸排废弃汽车273辆，报废汽车回收拆解3.13万辆。按季调度粮食节约和反食品浪费工作进展情况。深入做好“半拉子”工程大起底工作，印发《锡林郭勒盟防范政府投资项目“半拉子”工程长效机制方案》，列入自治区的5个“半拉子”工程已全部盘活销号。四是加快培育发展新动能。建立健全产业集群产业链工作机制，印发《关于成立锡林郭勒盟产业集群产业链建设工作领导小组的通知》，保障全盟7大产业集群</w:t>
      </w:r>
      <w:r>
        <w:rPr>
          <w:rFonts w:hint="default" w:ascii="Times New Roman" w:hAnsi="Times New Roman" w:eastAsia="仿宋" w:cs="Times New Roman"/>
          <w:b w:val="0"/>
          <w:bCs w:val="0"/>
          <w:spacing w:val="13"/>
          <w:sz w:val="32"/>
          <w:szCs w:val="32"/>
          <w:lang w:val="en" w:eastAsia="zh-CN"/>
        </w:rPr>
        <w:t>17</w:t>
      </w:r>
      <w:r>
        <w:rPr>
          <w:rFonts w:hint="default" w:ascii="Times New Roman" w:hAnsi="Times New Roman" w:eastAsia="仿宋" w:cs="Times New Roman"/>
          <w:b w:val="0"/>
          <w:bCs w:val="0"/>
          <w:spacing w:val="13"/>
          <w:sz w:val="32"/>
          <w:szCs w:val="32"/>
          <w:lang w:val="en-US" w:eastAsia="zh-CN"/>
        </w:rPr>
        <w:t>条产业链各项工作有序开展。推动产业高质量发展，印发《锡林郭勒盟贯彻落实自治区2023年坚持稳中快进稳中优进推动产业高质量发展政策清单任务台账》《锡林郭勒盟贯彻落实内蒙古自治区推动产业优化升级促进经济高质量发展工作要点任务分工台账》。加快重点行业企业属地化发展，印发《锡林郭勒盟关于促进重点行业领域生产服务性产业高质量发展的若干措施（试行）》，完成重点行业企业属地注册30家。印发《锡林郭勒盟数字经济推进方案》，正在推进落实，按月调度项目进展。五是促进生态保护与产业发展的良性互动。积极推进西乌旗草原畜牧业转型升级全国试点项目建设，预计11月底全部工程完工投运；2023年建设锡林郭勒盟内蒙古东部草原沙地综合治理项目（一期）争取落实中央预算内资金1.92亿元，初步设计已上报自治区林草局待批复，争取年内开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color w:val="000000"/>
          <w:sz w:val="32"/>
          <w:szCs w:val="32"/>
          <w:highlight w:val="none"/>
          <w:lang w:val="en-US" w:eastAsia="zh-CN"/>
        </w:rPr>
        <w:t>（三）深化改革扩大开放，推动区域协调发展。</w:t>
      </w:r>
      <w:r>
        <w:rPr>
          <w:rFonts w:hint="default" w:ascii="Times New Roman" w:hAnsi="Times New Roman" w:eastAsia="仿宋" w:cs="Times New Roman"/>
          <w:b w:val="0"/>
          <w:bCs w:val="0"/>
          <w:spacing w:val="13"/>
          <w:sz w:val="32"/>
          <w:szCs w:val="32"/>
          <w:lang w:val="en-US" w:eastAsia="zh-CN"/>
        </w:rPr>
        <w:t>一是做好“十四五”规划中期评估工作。印发《锡林郭勒盟“十四五”规划实施情况中期评估工作方案》，开展全盟“十四五”规划实施情况中期评估工作。完成各旗县“一县一策”建设方案上报工作。二是有序推进改革任务。完成党政机关和国有企事业单位培训疗养机构改革有关工作。推进2023年改革任务22项，其中制定出台类7项，目前已完成6项，剩余的1项任务“制定落实碳达峰碳中和目标任务监督考核方案”待自治区出台后贯彻落实；推进落实类改革任务15项，均取得实质性进展。三是推进地区振兴。加快实施新一轮东北振兴战略，西乌旗国电投白音华坑口电厂、国道331线阿尔诺尔布敦至乌里雅斯太段公路2个项目纳入东北全面振兴2023年重大项目滚动实施方案，组织起草了《锡林郭勒盟落实&lt;关于贯彻落实习近平总书记在新时代推动东北全面振兴座谈会上的重要讲话精神的实施方案&gt;的分工方案》，目前正在征求部门意见。推进特殊类型地区振兴发展，组织有关旗县制定解决边境人口“空心化”问题具体方案，制定《锡林郭勒盟落实〈自治区守边固边和边境建设2023年重点工作〉台账》，开展2023年度“消费帮扶新春行动”“消费帮扶金秋行动”。四是加强易地扶贫搬迁后续扶持。加快推进2022年易地搬迁后续扶持项目建设，确保白旗、西苏、太旗项目年内建成投运。2023年，落实后续扶持资金2630万元实施了5个项目，涉及全盟18个易地扶贫搬迁集中安置区，将辐射507户1043名易地扶贫搬迁群众受益。争取落实以工代赈项目资金2930万元，同比增长185%，涉及6个乡村公路项目，计划吸纳417名务工群众参与工程建设。五是加强基础设施建设。铁路方面，太锡铁路项目2023年内蒙古段已全面开工建设，已完成投资计划的88%。集通铁路电气化改造工程贲红至蒙根塔拉段已通车。民航方面，锡林浩特机场改扩建一期工程（第一标段）已完工，正在开展竣工验收；西乌旗通用机场预计年内完工；乌拉盖、东苏旗、多伦县、太仆寺旗通用机场及东乌旗、正蓝旗支线机场项目正有序推进中。公路方面，完成了国道331线阿尔善宝拉格至别力古台段公路、国道305线浑德伦至白音华段公路工程可行性研究报告的批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color w:val="000000"/>
          <w:sz w:val="32"/>
          <w:szCs w:val="32"/>
          <w:highlight w:val="none"/>
          <w:lang w:val="en-US" w:eastAsia="zh-CN"/>
        </w:rPr>
        <w:t>（四）优化营商环境，着力保市场主体。</w:t>
      </w:r>
      <w:r>
        <w:rPr>
          <w:rFonts w:hint="default" w:ascii="Times New Roman" w:hAnsi="Times New Roman" w:eastAsia="仿宋" w:cs="Times New Roman"/>
          <w:b w:val="0"/>
          <w:bCs w:val="0"/>
          <w:spacing w:val="13"/>
          <w:sz w:val="32"/>
          <w:szCs w:val="32"/>
          <w:lang w:val="en-US" w:eastAsia="zh-CN"/>
        </w:rPr>
        <w:t>一是打造更优营商环境。统筹推进自治区优化营商环境3.0行动方案落实落地，181项工作任务全部如期完成。组织制定《锡林郭勒盟落实2022年全区营商环境评估反馈问题及对标一流整改提升台账》，并推动落实177项整改提升举措，截至10月157项限期整改事项已完成121项，持续推进的20项均取得了积极进展。制定《锡林郭勒盟贯彻自治区进一步优化营商环境降低市场主体制度性交易成本工作方案任务分解落实台账》，涉及的103项落实举措已全部完成。积极推广中介服务超市，新增6个中介服务事项，全盟工程建设领域中介服务事项达81项，居全区前列；截至10月底，入驻中介机构达931家。二是推进社会信用体系建设。大力推进政务诚信建设、“双公示”信息高质量归集和拓展信用信息应用工作，截至目前共归集“双公示”信息62万多条，9月份“双公示”信息合规率、上报率达100%。积极开展“信易+”系列信用应用工作，举办“拓展信用应用推动社会信用体系高质量发展”宣传活动，探索创建诚信示范商场、诚信示范奶食品园区。我盟《推“诚”出“信”让企业真切体会纳税信用带来的“优越感”》案例入选全国“信易+”应用典型案例，为全区唯一获评案例。“信易贷”平台入驻金融机构93家，注册企业591家，成功授信放贷共6.59亿元。在最新发布的信用监测综合指数排名中，我盟在40个地州盟中位列第三位，在自治区政务诚信监测排名中位列第四名。三是加强价格收费管理。积极落实煤炭价格调控政策，推进落实可再生能源电价核查相关工作，切实做好重要民生商品价格调控和监测工作，就推进城镇非居民用水超定额累进加价制度、生活垃圾处理和污水处理收费、供水和供热价格成本监审、医疗废物处置收费等工作赴旗县调研。做好珠恩嘎达布其口岸收费管理工作，对该监管库进（出）口装卸费、仓储费进行成本调查，提出调价方案。推进自治区政府定价项目大起底专项工作，对政府定价项目、定价文件、价格执行情况进行全面梳理，提出分类处置意见。严格落实“阶段性降低小微企业和个体工商户用电成本”延长政策，共为8.15万户中小企业和个体工商户减少用电支出406.63万元。配合国家发改委价格司顺利完成锡盟地区煤炭价格政策实施效果评估调研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color w:val="000000"/>
          <w:sz w:val="32"/>
          <w:szCs w:val="32"/>
          <w:highlight w:val="none"/>
          <w:lang w:val="en-US" w:eastAsia="zh-CN"/>
        </w:rPr>
        <w:t>（五）筑牢安全底线，扎实做好粮食和物资储备工作。</w:t>
      </w:r>
      <w:r>
        <w:rPr>
          <w:rFonts w:hint="default" w:ascii="Times New Roman" w:hAnsi="Times New Roman" w:eastAsia="仿宋" w:cs="Times New Roman"/>
          <w:b w:val="0"/>
          <w:bCs w:val="0"/>
          <w:spacing w:val="13"/>
          <w:sz w:val="32"/>
          <w:szCs w:val="32"/>
          <w:lang w:val="en-US" w:eastAsia="zh-CN"/>
        </w:rPr>
        <w:t>持续深化粮食购销领域腐败问题专项整治工作。推进白音锡勒粮油有限责任公司新建应急成品面粉原料仓库和面粉钢磨生产线项目、乌拉盖管理区哈拉盖图麦香面粉加工厂粮食机械装备提升项目建设，不断增强区域性应急加工和保供能力。全面加强安全储粮和安全生产工作，重点开展了全盟粮食和物资储备系统安全生产隐患大排查大整治、2023年重大事故隐患专项排查整治和生产安全事故隐患专项排查整治等专项行动。指导储备粮承储企业完成了储备粮轮换、调整计划新入库任务。积极推进粮食购销领域监管信息化建设，3家政策性储备粮承储企业和4家成品粮油合作轮换企业都已按期完成信息化升级改造，实现了与自治区粮食领域购销监管平台互联互通。扎实做好盟本级应急救灾物资收储和日常管理工作。定期调度医疗防控物资、应急救灾物资和其它类物资储备情况。</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第二部分 单位决算情况说明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锡林郭勒盟发展和改革委员会（本级）2023年度收入、支出决算总计3213.19万元。与年初预算相比，收、支总计各减少</w:t>
      </w:r>
      <w:r>
        <w:rPr>
          <w:rFonts w:hint="default" w:ascii="Times New Roman" w:hAnsi="Times New Roman" w:eastAsia="仿宋" w:cs="Times New Roman"/>
          <w:b w:val="0"/>
          <w:bCs w:val="0"/>
          <w:kern w:val="0"/>
          <w:sz w:val="32"/>
          <w:szCs w:val="32"/>
          <w:lang w:val="en-US" w:eastAsia="zh-CN"/>
        </w:rPr>
        <w:t>3822.18</w:t>
      </w:r>
      <w:r>
        <w:rPr>
          <w:rFonts w:hint="default" w:ascii="Times New Roman" w:hAnsi="Times New Roman" w:eastAsia="仿宋" w:cs="Times New Roman"/>
          <w:b w:val="0"/>
          <w:bCs w:val="0"/>
          <w:kern w:val="0"/>
          <w:sz w:val="32"/>
          <w:szCs w:val="32"/>
        </w:rPr>
        <w:t>万元，减少</w:t>
      </w:r>
      <w:r>
        <w:rPr>
          <w:rFonts w:hint="default" w:ascii="Times New Roman" w:hAnsi="Times New Roman" w:eastAsia="仿宋" w:cs="Times New Roman"/>
          <w:b w:val="0"/>
          <w:bCs w:val="0"/>
          <w:kern w:val="0"/>
          <w:sz w:val="32"/>
          <w:szCs w:val="32"/>
          <w:lang w:val="en-US" w:eastAsia="zh-CN"/>
        </w:rPr>
        <w:t>54.33</w:t>
      </w:r>
      <w:r>
        <w:rPr>
          <w:rFonts w:hint="default" w:ascii="Times New Roman" w:hAnsi="Times New Roman" w:eastAsia="仿宋" w:cs="Times New Roman"/>
          <w:b w:val="0"/>
          <w:bCs w:val="0"/>
          <w:kern w:val="0"/>
          <w:sz w:val="32"/>
          <w:szCs w:val="32"/>
        </w:rPr>
        <w:t>%，变动原因：</w:t>
      </w:r>
      <w:r>
        <w:rPr>
          <w:rFonts w:hint="default" w:ascii="Times New Roman" w:hAnsi="Times New Roman" w:eastAsia="仿宋" w:cs="Times New Roman"/>
          <w:b w:val="0"/>
          <w:bCs w:val="0"/>
          <w:kern w:val="0"/>
          <w:sz w:val="32"/>
          <w:szCs w:val="32"/>
          <w:lang w:eastAsia="zh-CN"/>
        </w:rPr>
        <w:t>预算包括盟级招商引资工作1000万元、盟级服务业引导发展3000万元等转移支付项目，不在决算中体现</w:t>
      </w:r>
      <w:r>
        <w:rPr>
          <w:rFonts w:hint="default" w:ascii="Times New Roman" w:hAnsi="Times New Roman" w:eastAsia="仿宋" w:cs="Times New Roman"/>
          <w:b w:val="0"/>
          <w:bCs w:val="0"/>
          <w:kern w:val="0"/>
          <w:sz w:val="32"/>
          <w:szCs w:val="32"/>
        </w:rPr>
        <w:t>；与上年决算相比，收、支总计各减少120.74万元，减少3.62%。其中：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楷体" w:cs="Times New Roman"/>
          <w:b w:val="0"/>
          <w:bCs w:val="0"/>
          <w:kern w:val="0"/>
          <w:sz w:val="32"/>
          <w:szCs w:val="32"/>
        </w:rPr>
        <w:t>（一）收入决算总计3213.19万元。</w:t>
      </w:r>
      <w:r>
        <w:rPr>
          <w:rFonts w:hint="default" w:ascii="Times New Roman" w:hAnsi="Times New Roman" w:eastAsia="仿宋" w:cs="Times New Roman"/>
          <w:b w:val="0"/>
          <w:bCs w:val="0"/>
          <w:kern w:val="0"/>
          <w:sz w:val="32"/>
          <w:szCs w:val="32"/>
        </w:rPr>
        <w:t>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1.本年收入决算合计3149.95万元。与上年决算相比，减少173.80万元，减</w:t>
      </w:r>
      <w:r>
        <w:rPr>
          <w:rFonts w:hint="default" w:ascii="Times New Roman" w:hAnsi="Times New Roman" w:eastAsia="仿宋" w:cs="Times New Roman"/>
          <w:b w:val="0"/>
          <w:bCs w:val="0"/>
          <w:kern w:val="0"/>
          <w:sz w:val="32"/>
          <w:szCs w:val="32"/>
          <w:lang w:eastAsia="zh-CN"/>
        </w:rPr>
        <w:t>少</w:t>
      </w:r>
      <w:r>
        <w:rPr>
          <w:rFonts w:hint="default" w:ascii="Times New Roman" w:hAnsi="Times New Roman" w:eastAsia="仿宋" w:cs="Times New Roman"/>
          <w:b w:val="0"/>
          <w:bCs w:val="0"/>
          <w:kern w:val="0"/>
          <w:sz w:val="32"/>
          <w:szCs w:val="32"/>
        </w:rPr>
        <w:t>5.23%，变动原因：</w:t>
      </w:r>
      <w:r>
        <w:rPr>
          <w:rFonts w:hint="default" w:ascii="Times New Roman" w:hAnsi="Times New Roman" w:eastAsia="仿宋" w:cs="Times New Roman"/>
          <w:b w:val="0"/>
          <w:bCs w:val="0"/>
          <w:spacing w:val="13"/>
          <w:sz w:val="32"/>
          <w:szCs w:val="32"/>
          <w:lang w:val="en-US" w:eastAsia="zh-CN"/>
        </w:rPr>
        <w:t>厉行节约，减少各类经费支出</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2.使用非财政拨款结余和专用结余0.00万元。与上年决算</w:t>
      </w:r>
      <w:r>
        <w:rPr>
          <w:rFonts w:hint="default" w:ascii="Times New Roman" w:hAnsi="Times New Roman" w:eastAsia="仿宋" w:cs="Times New Roman"/>
          <w:b w:val="0"/>
          <w:bCs w:val="0"/>
          <w:kern w:val="0"/>
          <w:sz w:val="32"/>
          <w:szCs w:val="32"/>
          <w:lang w:eastAsia="zh-CN"/>
        </w:rPr>
        <w:t>一致</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3.年初结转和结余63.24万元。与上年决算相比，增加53.06万元，增长521.69%，变动原因：</w:t>
      </w:r>
      <w:r>
        <w:rPr>
          <w:rFonts w:hint="default" w:ascii="Times New Roman" w:hAnsi="Times New Roman" w:eastAsia="仿宋" w:cs="Times New Roman"/>
          <w:b w:val="0"/>
          <w:bCs w:val="0"/>
          <w:kern w:val="0"/>
          <w:sz w:val="32"/>
          <w:szCs w:val="32"/>
          <w:lang w:eastAsia="zh-CN"/>
        </w:rPr>
        <w:t>上年年末结转和结余增加</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楷体" w:cs="Times New Roman"/>
          <w:b w:val="0"/>
          <w:bCs w:val="0"/>
          <w:kern w:val="0"/>
          <w:sz w:val="32"/>
          <w:szCs w:val="32"/>
        </w:rPr>
        <w:t>（二）支出决算总计3213.19万元。</w:t>
      </w:r>
      <w:r>
        <w:rPr>
          <w:rFonts w:hint="default" w:ascii="Times New Roman" w:hAnsi="Times New Roman" w:eastAsia="仿宋" w:cs="Times New Roman"/>
          <w:b w:val="0"/>
          <w:bCs w:val="0"/>
          <w:kern w:val="0"/>
          <w:sz w:val="32"/>
          <w:szCs w:val="32"/>
        </w:rPr>
        <w:t>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1.本年支出决算合计3201.49万元。与上年决算相比，减少56.60万元，减少1.74%，变动原因：</w:t>
      </w:r>
      <w:r>
        <w:rPr>
          <w:rFonts w:hint="default" w:ascii="Times New Roman" w:hAnsi="Times New Roman" w:eastAsia="仿宋" w:cs="Times New Roman"/>
          <w:b w:val="0"/>
          <w:bCs w:val="0"/>
          <w:spacing w:val="13"/>
          <w:sz w:val="32"/>
          <w:szCs w:val="32"/>
          <w:lang w:val="en-US" w:eastAsia="zh-CN"/>
        </w:rPr>
        <w:t>厉行节约，减少各类经费支出</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2.结余分配0.00万元。结余分配事项：</w:t>
      </w:r>
      <w:r>
        <w:rPr>
          <w:rFonts w:hint="default" w:ascii="Times New Roman" w:hAnsi="Times New Roman" w:eastAsia="仿宋" w:cs="Times New Roman"/>
          <w:b w:val="0"/>
          <w:bCs w:val="0"/>
          <w:kern w:val="0"/>
          <w:sz w:val="32"/>
          <w:szCs w:val="32"/>
          <w:lang w:eastAsia="zh-CN"/>
        </w:rPr>
        <w:t>不存在此项内容</w:t>
      </w:r>
      <w:r>
        <w:rPr>
          <w:rFonts w:hint="default" w:ascii="Times New Roman" w:hAnsi="Times New Roman" w:eastAsia="仿宋" w:cs="Times New Roman"/>
          <w:b w:val="0"/>
          <w:bCs w:val="0"/>
          <w:kern w:val="0"/>
          <w:sz w:val="32"/>
          <w:szCs w:val="32"/>
        </w:rPr>
        <w:t>。与上年决算</w:t>
      </w:r>
      <w:r>
        <w:rPr>
          <w:rFonts w:hint="default" w:ascii="Times New Roman" w:hAnsi="Times New Roman" w:eastAsia="仿宋" w:cs="Times New Roman"/>
          <w:b w:val="0"/>
          <w:bCs w:val="0"/>
          <w:kern w:val="0"/>
          <w:sz w:val="32"/>
          <w:szCs w:val="32"/>
          <w:lang w:eastAsia="zh-CN"/>
        </w:rPr>
        <w:t>一致</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lang w:val="en"/>
        </w:rPr>
      </w:pPr>
      <w:r>
        <w:rPr>
          <w:rFonts w:hint="default" w:ascii="Times New Roman" w:hAnsi="Times New Roman" w:eastAsia="仿宋" w:cs="Times New Roman"/>
          <w:b w:val="0"/>
          <w:bCs w:val="0"/>
          <w:kern w:val="0"/>
          <w:sz w:val="32"/>
          <w:szCs w:val="32"/>
        </w:rPr>
        <w:t>3.年末结转和结余11.69万元。结转和结余事项：</w:t>
      </w:r>
      <w:r>
        <w:rPr>
          <w:rFonts w:hint="default" w:ascii="Times New Roman" w:hAnsi="Times New Roman" w:eastAsia="仿宋" w:cs="Times New Roman"/>
          <w:b w:val="0"/>
          <w:bCs w:val="0"/>
          <w:kern w:val="0"/>
          <w:sz w:val="32"/>
          <w:szCs w:val="32"/>
          <w:lang w:eastAsia="zh-CN"/>
        </w:rPr>
        <w:t>单位资金公用经费</w:t>
      </w:r>
      <w:r>
        <w:rPr>
          <w:rFonts w:hint="default" w:ascii="Times New Roman" w:hAnsi="Times New Roman" w:eastAsia="仿宋" w:cs="Times New Roman"/>
          <w:b w:val="0"/>
          <w:bCs w:val="0"/>
          <w:kern w:val="0"/>
          <w:sz w:val="32"/>
          <w:szCs w:val="32"/>
        </w:rPr>
        <w:t>。与上年决算相比，减少64.14万元，减少84.58%，变动原因：</w:t>
      </w:r>
      <w:r>
        <w:rPr>
          <w:rFonts w:hint="default" w:ascii="Times New Roman" w:hAnsi="Times New Roman" w:eastAsia="仿宋" w:cs="Times New Roman"/>
          <w:b w:val="0"/>
          <w:bCs w:val="0"/>
          <w:kern w:val="0"/>
          <w:sz w:val="32"/>
          <w:szCs w:val="32"/>
          <w:lang w:eastAsia="zh-CN"/>
        </w:rPr>
        <w:t>本年专项资金项目减少、结转下年资金减少</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锡林郭勒盟发展和改革委员会（本级）2023年度本年收入决算合计3149.95万元，其中：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本年一般公共预算财政拨款收入3094.24万元，占98.23%；</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本年政府性基金预算财政拨款收入0.00万元，占0.00%；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本年国有资本经营预算财政拨款收入0.00万元，占0.00%；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本年上级补助收入0.00万元，占0.00%；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本年事业收入0.00万元，占0.00%；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本年经营收入0.00万元，占0.00%；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本年附属单位上缴收入0.00万元，占0.00%；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本年其他收入55.71万元，占1.77%。</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drawing>
          <wp:anchor distT="0" distB="0" distL="114300" distR="114300" simplePos="0" relativeHeight="251658240" behindDoc="0" locked="0" layoutInCell="1" allowOverlap="1">
            <wp:simplePos x="0" y="0"/>
            <wp:positionH relativeFrom="column">
              <wp:posOffset>548005</wp:posOffset>
            </wp:positionH>
            <wp:positionV relativeFrom="paragraph">
              <wp:posOffset>-8096250</wp:posOffset>
            </wp:positionV>
            <wp:extent cx="3683635" cy="2214880"/>
            <wp:effectExtent l="0" t="0" r="12065" b="13970"/>
            <wp:wrapTopAndBottom/>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5"/>
                    <a:stretch>
                      <a:fillRect/>
                    </a:stretch>
                  </pic:blipFill>
                  <pic:spPr>
                    <a:xfrm>
                      <a:off x="0" y="0"/>
                      <a:ext cx="3683635" cy="2214880"/>
                    </a:xfrm>
                    <a:prstGeom prst="rect">
                      <a:avLst/>
                    </a:prstGeom>
                  </pic:spPr>
                </pic:pic>
              </a:graphicData>
            </a:graphic>
          </wp:anchor>
        </w:drawing>
      </w:r>
      <w:r>
        <w:rPr>
          <w:rFonts w:hint="default" w:ascii="Times New Roman" w:hAnsi="Times New Roman" w:eastAsia="黑体" w:cs="Times New Roman"/>
          <w:b w:val="0"/>
          <w:bCs w:val="0"/>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锡林郭勒盟发展和改革委员会（本级）2023年度本年支出决算合计3201.49万元，其中：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本年基本支出1822.45万元，占56.9</w:t>
      </w:r>
      <w:r>
        <w:rPr>
          <w:rFonts w:hint="default" w:ascii="Times New Roman" w:hAnsi="Times New Roman" w:eastAsia="仿宋" w:cs="Times New Roman"/>
          <w:b w:val="0"/>
          <w:bCs w:val="0"/>
          <w:kern w:val="0"/>
          <w:sz w:val="32"/>
          <w:szCs w:val="32"/>
          <w:lang w:val="en-US" w:eastAsia="zh-CN"/>
        </w:rPr>
        <w:t>3</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本年项目支出1379.04万元，占43.0</w:t>
      </w:r>
      <w:r>
        <w:rPr>
          <w:rFonts w:hint="default" w:ascii="Times New Roman" w:hAnsi="Times New Roman" w:eastAsia="仿宋" w:cs="Times New Roman"/>
          <w:b w:val="0"/>
          <w:bCs w:val="0"/>
          <w:kern w:val="0"/>
          <w:sz w:val="32"/>
          <w:szCs w:val="32"/>
          <w:lang w:val="en-US" w:eastAsia="zh-CN"/>
        </w:rPr>
        <w:t>7</w:t>
      </w:r>
      <w:r>
        <w:rPr>
          <w:rFonts w:hint="default" w:ascii="Times New Roman" w:hAnsi="Times New Roman" w:eastAsia="仿宋"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本年上缴上级支出0.00万元，占0.00%；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本年经营支出0.00万元，占0.00%；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本年对附属单位补助支出0.00万元，占0.00%。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kern w:val="0"/>
          <w:sz w:val="32"/>
          <w:szCs w:val="32"/>
        </w:rPr>
        <w:drawing>
          <wp:anchor distT="0" distB="0" distL="114300" distR="114300" simplePos="0" relativeHeight="251659264" behindDoc="0" locked="0" layoutInCell="1" allowOverlap="1">
            <wp:simplePos x="0" y="0"/>
            <wp:positionH relativeFrom="column">
              <wp:posOffset>419735</wp:posOffset>
            </wp:positionH>
            <wp:positionV relativeFrom="paragraph">
              <wp:posOffset>35560</wp:posOffset>
            </wp:positionV>
            <wp:extent cx="3357880" cy="2018665"/>
            <wp:effectExtent l="0" t="0" r="13970" b="635"/>
            <wp:wrapTopAndBottom/>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6"/>
                    <a:stretch>
                      <a:fillRect/>
                    </a:stretch>
                  </pic:blipFill>
                  <pic:spPr>
                    <a:xfrm>
                      <a:off x="0" y="0"/>
                      <a:ext cx="3357880" cy="2018665"/>
                    </a:xfrm>
                    <a:prstGeom prst="rect">
                      <a:avLst/>
                    </a:prstGeom>
                  </pic:spPr>
                </pic:pic>
              </a:graphicData>
            </a:graphic>
          </wp:anchor>
        </w:drawing>
      </w:r>
      <w:r>
        <w:rPr>
          <w:rFonts w:hint="default" w:ascii="Times New Roman" w:hAnsi="Times New Roman" w:eastAsia="黑体" w:cs="Times New Roman"/>
          <w:b w:val="0"/>
          <w:bCs w:val="0"/>
          <w:spacing w:val="13"/>
          <w:sz w:val="32"/>
          <w:szCs w:val="32"/>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lang w:val="en-US" w:eastAsia="zh-CN"/>
        </w:rPr>
        <w:t>锡林郭勒盟发展和改革委员会（本级）2023年度财政拨款收入、支出决算总计3155.30万元，与年初预算相比，收、支总计各减少3880.07万元，减少55.15%，变动原因：</w:t>
      </w:r>
      <w:r>
        <w:rPr>
          <w:rFonts w:hint="default" w:ascii="Times New Roman" w:hAnsi="Times New Roman" w:eastAsia="仿宋" w:cs="Times New Roman"/>
          <w:b w:val="0"/>
          <w:bCs w:val="0"/>
          <w:kern w:val="0"/>
          <w:sz w:val="32"/>
          <w:szCs w:val="32"/>
          <w:lang w:eastAsia="zh-CN"/>
        </w:rPr>
        <w:t>预算包括盟级招商引资工作1000万元、盟级服务业引导发展3000万元等转移支付项目，不在决算中体现</w:t>
      </w:r>
      <w:r>
        <w:rPr>
          <w:rFonts w:hint="default" w:ascii="Times New Roman" w:hAnsi="Times New Roman" w:eastAsia="仿宋" w:cs="Times New Roman"/>
          <w:b w:val="0"/>
          <w:bCs w:val="0"/>
          <w:kern w:val="0"/>
          <w:sz w:val="32"/>
          <w:szCs w:val="32"/>
          <w:lang w:val="en-US" w:eastAsia="zh-CN"/>
        </w:rPr>
        <w:t>；与上年决算相比，收、支总计各减少104.08万元，减少3.19%，变动原因：</w:t>
      </w:r>
      <w:r>
        <w:rPr>
          <w:rFonts w:hint="default" w:ascii="Times New Roman" w:hAnsi="Times New Roman" w:eastAsia="仿宋" w:cs="Times New Roman"/>
          <w:b w:val="0"/>
          <w:bCs w:val="0"/>
          <w:spacing w:val="13"/>
          <w:sz w:val="32"/>
          <w:szCs w:val="32"/>
          <w:lang w:val="en-US" w:eastAsia="zh-CN"/>
        </w:rPr>
        <w:t>厉行节约，减少各类经费支出。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五、一般公共预算财政拨款支出决算情况说</w:t>
      </w:r>
      <w:r>
        <w:rPr>
          <w:rFonts w:hint="default" w:ascii="Times New Roman" w:hAnsi="Times New Roman" w:eastAsia="仿宋" w:cs="Times New Roman"/>
          <w:b w:val="0"/>
          <w:bCs w:val="0"/>
          <w:spacing w:val="13"/>
          <w:sz w:val="32"/>
          <w:szCs w:val="32"/>
          <w:lang w:val="en-US" w:eastAsia="zh-CN"/>
        </w:rPr>
        <w:t>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锡林郭勒盟发展和改革委员会（本级）2023年度一般公共预算财政拨款支出决算3146.44万元。与年初预算7035.37万元相比，完成年初预算的44.72%。其中：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（一）一般公共服务（类）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一般公共服务类决算数为2301.15万元，与年初预算相比减少3867.99万元。其中：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1.发展与改革事务（款）行政运行（项）。年初预算1029.38万元，支出决算1298.37万元，完成年初预算的126.13%。决算数与年初预算数的差异原因：</w:t>
      </w:r>
      <w:r>
        <w:rPr>
          <w:rFonts w:hint="default" w:ascii="Times New Roman" w:hAnsi="Times New Roman" w:eastAsia="仿宋" w:cs="Times New Roman"/>
          <w:b w:val="0"/>
          <w:bCs w:val="0"/>
          <w:spacing w:val="13"/>
          <w:sz w:val="32"/>
          <w:szCs w:val="32"/>
          <w:lang w:val="en" w:eastAsia="zh-CN"/>
        </w:rPr>
        <w:t>人员变动</w:t>
      </w:r>
      <w:r>
        <w:rPr>
          <w:rFonts w:hint="default" w:ascii="Times New Roman" w:hAnsi="Times New Roman" w:eastAsia="仿宋" w:cs="Times New Roman"/>
          <w:b w:val="0"/>
          <w:bCs w:val="0"/>
          <w:spacing w:val="1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2.发展与改革事务（款）一般行政管理事务（项）。年初预算5040.26万元，支出决算902.78万元，完成年初预算的17.91%。决算数与年初预算数的差异原因：预算包括盟级招商引资工作1000万元、盟级服务业引导发展3000万元等转移支付项目，不在决算中体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3.发展与改革事务（款）机关服务（项）。年初预算59.5万元，支出决算59.5万元，完成年初预算的100%。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4.发展与改革事务（款）战略规划与实施（项）。年初预算30万元，支出决算30万元，完成年初预算的100%。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5.财政事务（款）其他财政事务支出（项）。年初预算0万元，支出决算0.5万元。决算数与年初预算数的差异原因：</w:t>
      </w:r>
      <w:r>
        <w:rPr>
          <w:rFonts w:hint="default" w:ascii="Times New Roman" w:hAnsi="Times New Roman" w:eastAsia="仿宋" w:cs="Times New Roman"/>
          <w:b w:val="0"/>
          <w:bCs w:val="0"/>
          <w:spacing w:val="13"/>
          <w:sz w:val="32"/>
          <w:szCs w:val="32"/>
          <w:lang w:val="en" w:eastAsia="zh-CN"/>
        </w:rPr>
        <w:t>年中追加涉外贷款项目管理业务项目</w:t>
      </w:r>
      <w:r>
        <w:rPr>
          <w:rFonts w:hint="default" w:ascii="Times New Roman" w:hAnsi="Times New Roman" w:eastAsia="仿宋" w:cs="Times New Roman"/>
          <w:b w:val="0"/>
          <w:bCs w:val="0"/>
          <w:spacing w:val="1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6.组织事务（款）其他组织事务支出（项）。年初预算10万元，支出决算10万元，完成年初预算的100%。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（二）社会保障和就业支出（类）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社会保障和就业支出类决算数为263.98万元，与年初预算相比增加28.14万元。其中：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1.行政事业单位养老支出（款）行政单位离退休（项）。年初预算150.12万元，支出决算139.97万元，完成年初预算的93.24%。决算数与年初预算数的差异原因：人员变动。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2.行政事业单位养老支出（款）机关事业单位基本养老保险缴费支出（项）。年初预算85.72万元，支出决算87.14万元，完成年初预算的101.66%。决算数与年初预算数的差异原因：人员变动。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3.行政事业单位养老支出（款）机关事业单位职业年金缴费支出（项）。年初预算0万元，支出决算36.87万元。决算数与年初预算数的差异原因：调出人员增加，缴纳职业年金单位部分。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（三）卫生健康支出（类）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卫生健康支出类决算数为476.83万元，与年初预算相减少51.52万元。其中：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 w:eastAsia="zh-CN"/>
        </w:rPr>
        <w:t>1.</w:t>
      </w:r>
      <w:r>
        <w:rPr>
          <w:rFonts w:hint="default" w:ascii="Times New Roman" w:hAnsi="Times New Roman" w:eastAsia="仿宋" w:cs="Times New Roman"/>
          <w:b w:val="0"/>
          <w:bCs w:val="0"/>
          <w:spacing w:val="13"/>
          <w:sz w:val="32"/>
          <w:szCs w:val="32"/>
          <w:lang w:val="en-US" w:eastAsia="zh-CN"/>
        </w:rPr>
        <w:t>公共卫生（款）重大公共卫生服务（项）。年初预算72.1万元，支出决算62.8万元，完成年初预算的87.1%。决算数与年初预算数的差异原因：疫情防控数据自助采集核查系统（人码核验系统）项目政府采购</w:t>
      </w:r>
      <w:r>
        <w:rPr>
          <w:rFonts w:hint="eastAsia" w:ascii="Times New Roman" w:hAnsi="Times New Roman" w:eastAsia="仿宋" w:cs="Times New Roman"/>
          <w:b w:val="0"/>
          <w:bCs w:val="0"/>
          <w:spacing w:val="13"/>
          <w:sz w:val="32"/>
          <w:szCs w:val="32"/>
          <w:lang w:val="en-US" w:eastAsia="zh-CN"/>
        </w:rPr>
        <w:t>中标</w:t>
      </w:r>
      <w:r>
        <w:rPr>
          <w:rFonts w:hint="default" w:ascii="Times New Roman" w:hAnsi="Times New Roman" w:eastAsia="仿宋" w:cs="Times New Roman"/>
          <w:b w:val="0"/>
          <w:bCs w:val="0"/>
          <w:spacing w:val="13"/>
          <w:sz w:val="32"/>
          <w:szCs w:val="32"/>
          <w:lang w:val="en-US" w:eastAsia="zh-CN"/>
        </w:rPr>
        <w:t>金额比预算金额少。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 w:eastAsia="zh-CN"/>
        </w:rPr>
        <w:t>2.</w:t>
      </w:r>
      <w:r>
        <w:rPr>
          <w:rFonts w:hint="default" w:ascii="Times New Roman" w:hAnsi="Times New Roman" w:eastAsia="仿宋" w:cs="Times New Roman"/>
          <w:b w:val="0"/>
          <w:bCs w:val="0"/>
          <w:spacing w:val="13"/>
          <w:sz w:val="32"/>
          <w:szCs w:val="32"/>
          <w:lang w:val="en-US" w:eastAsia="zh-CN"/>
        </w:rPr>
        <w:t>公共卫生（款）突发公共卫生事件应急处理（项）。年初预算343.55万元，支出决算304.06万元，完成年初预算的88.51%。决算数与年初预算数的差异原因：疫情防控应急救灾物资采购项目政府采购</w:t>
      </w:r>
      <w:r>
        <w:rPr>
          <w:rFonts w:hint="eastAsia" w:ascii="Times New Roman" w:hAnsi="Times New Roman" w:eastAsia="仿宋" w:cs="Times New Roman"/>
          <w:b w:val="0"/>
          <w:bCs w:val="0"/>
          <w:spacing w:val="13"/>
          <w:sz w:val="32"/>
          <w:szCs w:val="32"/>
          <w:lang w:val="en-US" w:eastAsia="zh-CN"/>
        </w:rPr>
        <w:t>中标</w:t>
      </w:r>
      <w:r>
        <w:rPr>
          <w:rFonts w:hint="default" w:ascii="Times New Roman" w:hAnsi="Times New Roman" w:eastAsia="仿宋" w:cs="Times New Roman"/>
          <w:b w:val="0"/>
          <w:bCs w:val="0"/>
          <w:spacing w:val="13"/>
          <w:sz w:val="32"/>
          <w:szCs w:val="32"/>
          <w:lang w:val="en-US" w:eastAsia="zh-CN"/>
        </w:rPr>
        <w:t>金额比预算金额少。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3.行政事业单位医疗（款）行政单位医疗（项）。年初预算98.09万元，支出决算95.43万元，完成年初预算的97.29%。决算数与年初预算数的差异原因：人员变动。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4.行政事业单位医疗（款）公务员医疗补助（项）。年初预算14.61万元，支出决算14.53万元，完成年初预算的99.45%。决算数与年初预算数的差异原因：人员变动。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（四）住房保障支出（类）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住房保障支出类决算数为97.13万元，与年初预算相比增加2.45万元。其中：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1.住房改革支出（款）住房公积金（项）。年初预算83.79万元，支出决算82.23万元，完成年初预算的98.14%。决算数与年初预算数的差异原因：人员变动。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2.住房改革支出（款）购房补贴（项）。年初预算10.89万元，支出决算14.9万元，完成年初预算的136.82%。决算数与年初预算数的差异原因：人员变动。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（五）其他支出（类）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其他支出类决算数为7.36万元，与年初预算一致。其中：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其他支出（款）其他支出（项）。年初预算7.36万元，支出决算7.36万元，完成年初预算的100%。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锡林郭勒盟发展和改革委员会（本级）2023年度一般公共预算财政拨款基本支出决算1767.40万元，其中：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（一）人员经费1563.84万元。</w:t>
      </w:r>
      <w:r>
        <w:rPr>
          <w:rFonts w:hint="default" w:ascii="Times New Roman" w:hAnsi="Times New Roman" w:eastAsia="仿宋" w:cs="Times New Roman"/>
          <w:b w:val="0"/>
          <w:bCs w:val="0"/>
          <w:spacing w:val="13"/>
          <w:sz w:val="32"/>
          <w:szCs w:val="32"/>
          <w:lang w:val="en-US" w:eastAsia="zh-CN"/>
        </w:rPr>
        <w:t>主要包括：基本工资、津贴补贴、奖金、机关事业单位基本养老保险缴费、职业年金缴费、职工基本医疗保险缴费、公务员医疗补助缴费、其他社会保障缴费、住房公积金、其他工资福利支出、离休费、退休费、抚恤金、生活补助、医疗费补助、奖励金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（二）公用经费203.56万元。</w:t>
      </w:r>
      <w:r>
        <w:rPr>
          <w:rFonts w:hint="default" w:ascii="Times New Roman" w:hAnsi="Times New Roman" w:eastAsia="仿宋" w:cs="Times New Roman"/>
          <w:b w:val="0"/>
          <w:bCs w:val="0"/>
          <w:spacing w:val="13"/>
          <w:sz w:val="32"/>
          <w:szCs w:val="32"/>
          <w:lang w:val="en-US" w:eastAsia="zh-CN"/>
        </w:rPr>
        <w:t>主要包括：办公费、印刷费、手续费、水费、电费、邮电费、取暖费、物业管理费、会议费、公务接待费、工会经费、福利费、公务用车运行维护费、其他交通费用、办公设备购置等。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七、一般公共预算财政拨款项目支出决算情况说明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锡林郭勒盟发展和改革委员会（本级）2023年度一般公共预算财政拨款项目支出决算1379.04万元，其中：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（一）商品和服务支出1267.64万元。</w:t>
      </w:r>
      <w:r>
        <w:rPr>
          <w:rFonts w:hint="default" w:ascii="Times New Roman" w:hAnsi="Times New Roman" w:eastAsia="仿宋" w:cs="Times New Roman"/>
          <w:b w:val="0"/>
          <w:bCs w:val="0"/>
          <w:spacing w:val="13"/>
          <w:sz w:val="32"/>
          <w:szCs w:val="32"/>
          <w:lang w:val="en-US" w:eastAsia="zh-CN"/>
        </w:rPr>
        <w:t>主要包括：办公费、印刷费、物业管理费、差旅费、会议费、培训费、劳务费、委托业务费、福利费、其他商品和服务支出等。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（二）对个人和家庭的补助8.29万元。</w:t>
      </w:r>
      <w:r>
        <w:rPr>
          <w:rFonts w:hint="default" w:ascii="Times New Roman" w:hAnsi="Times New Roman" w:eastAsia="仿宋" w:cs="Times New Roman"/>
          <w:b w:val="0"/>
          <w:bCs w:val="0"/>
          <w:spacing w:val="13"/>
          <w:sz w:val="32"/>
          <w:szCs w:val="32"/>
          <w:lang w:val="en-US" w:eastAsia="zh-CN"/>
        </w:rPr>
        <w:t>主要包括：生活补助等。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（三）资本性支出103.11万元。</w:t>
      </w:r>
      <w:r>
        <w:rPr>
          <w:rFonts w:hint="default" w:ascii="Times New Roman" w:hAnsi="Times New Roman" w:eastAsia="仿宋" w:cs="Times New Roman"/>
          <w:b w:val="0"/>
          <w:bCs w:val="0"/>
          <w:spacing w:val="13"/>
          <w:sz w:val="32"/>
          <w:szCs w:val="32"/>
          <w:lang w:val="en-US" w:eastAsia="zh-CN"/>
        </w:rPr>
        <w:t>主要包括：办公设备购置、专用设备购置、信息网络及软件购置更新等。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八、财政拨款“三公”经费支出决算情况说明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（一）财政拨款“三公”经费支出总体情况说明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财政拨款“三公”经费全年预算19.13万元，支出决算19.13万元，完成预算的100.00%。其中：因公出国（境）费全年预算0.00万元，支出决算0.00万元，完成预算的0%；公务用车购置及运行维护费全年预算15.83万元，支出决算15.83万元，完成预算的100.00%；公务接待费全年预算3.29万元，支出决算3.29万元，完成预算的100.00%。2023年度一般公共预算财政拨款“三公”经费支出决算与预算无差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（二）财政拨款“三公”经费支出具体情况说明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财政拨款“三公”经费支出19.13万元。因公出国（境）费支出0.00万元，占0.00%；公务用车购置及运行维护费支出15.83万元，占82.78%；公务接待费支出3.29万元，占17.22%。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 w:eastAsia="zh-CN"/>
        </w:rPr>
      </w:pPr>
      <w:r>
        <w:rPr>
          <w:rFonts w:hint="default" w:ascii="Times New Roman" w:hAnsi="Times New Roman" w:eastAsia="仿宋" w:cs="Times New Roman"/>
          <w:b w:val="0"/>
          <w:bCs w:val="0"/>
          <w:spacing w:val="13"/>
          <w:sz w:val="32"/>
          <w:szCs w:val="32"/>
          <w:lang w:val="en-US" w:eastAsia="zh-CN"/>
        </w:rPr>
        <w:t>1.因公出国（境）费支出0.00万元，全年出国（境）团组0个，累计0人次。</w:t>
      </w:r>
      <w:r>
        <w:rPr>
          <w:rFonts w:hint="default" w:ascii="Times New Roman" w:hAnsi="Times New Roman" w:eastAsia="仿宋" w:cs="Times New Roman"/>
          <w:b w:val="0"/>
          <w:bCs w:val="0"/>
          <w:spacing w:val="13"/>
          <w:sz w:val="32"/>
          <w:szCs w:val="32"/>
          <w:lang w:val="en" w:eastAsia="zh-CN"/>
        </w:rPr>
        <w:t>与上年决算一致。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2.公务用车购置及运行维护费支出15.83万元。其中：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 w:eastAsia="zh-CN"/>
        </w:rPr>
      </w:pPr>
      <w:r>
        <w:rPr>
          <w:rFonts w:hint="default" w:ascii="Times New Roman" w:hAnsi="Times New Roman" w:eastAsia="仿宋" w:cs="Times New Roman"/>
          <w:b w:val="0"/>
          <w:bCs w:val="0"/>
          <w:spacing w:val="13"/>
          <w:sz w:val="32"/>
          <w:szCs w:val="32"/>
          <w:lang w:val="en-US" w:eastAsia="zh-CN"/>
        </w:rPr>
        <w:t>（1）公务用车购置支出0.00万元。本年度使用财政拨款购置公务用车0辆，开支内容：无。</w:t>
      </w:r>
      <w:r>
        <w:rPr>
          <w:rFonts w:hint="default" w:ascii="Times New Roman" w:hAnsi="Times New Roman" w:eastAsia="仿宋" w:cs="Times New Roman"/>
          <w:b w:val="0"/>
          <w:bCs w:val="0"/>
          <w:spacing w:val="13"/>
          <w:sz w:val="32"/>
          <w:szCs w:val="32"/>
          <w:lang w:val="en" w:eastAsia="zh-CN"/>
        </w:rPr>
        <w:t>与上年决算一致。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2）公务用车运行维护费支出15.83万元。公务用车运行维护费主要用于按规定保留的公务用车的燃料费、维修费、过桥过路费、保险费、安全奖励费用等支出。截至2023年12月31日，使用财政拨款开支的公务用车保有量为4辆。与上年决算相比，减少11.82万元，减少42.75%，变动原因：厉行节约，减少“三公”经费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3.公务接待费支出3.29万元。其中：国内公务接待支出3.29万元，接待41批次，221人次，开支内容：按规定开支的各类公务接待费用；国（境）外公务接待支出0.00万元，接待0批次，0人次，开支内容：无。与上年决算相比，增加2.52万元，增长328.31%，变动原因：根据盟纪检委要求支付以前年度接待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九、政府性基金预算财政拨款支出决算情况说明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jc w:val="both"/>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锡林郭勒盟发展和改革委员会（本级）2023年度政府性基金预算财政拨款支出决算0.00万元。与上年决算</w:t>
      </w:r>
      <w:r>
        <w:rPr>
          <w:rFonts w:hint="default" w:ascii="Times New Roman" w:hAnsi="Times New Roman" w:eastAsia="仿宋" w:cs="Times New Roman"/>
          <w:b w:val="0"/>
          <w:bCs w:val="0"/>
          <w:spacing w:val="13"/>
          <w:sz w:val="32"/>
          <w:szCs w:val="32"/>
          <w:lang w:val="en" w:eastAsia="zh-CN"/>
        </w:rPr>
        <w:t>一致。</w:t>
      </w:r>
      <w:r>
        <w:rPr>
          <w:rFonts w:hint="default" w:ascii="Times New Roman" w:hAnsi="Times New Roman" w:eastAsia="仿宋" w:cs="Times New Roman"/>
          <w:b w:val="0"/>
          <w:bCs w:val="0"/>
          <w:spacing w:val="13"/>
          <w:sz w:val="32"/>
          <w:szCs w:val="32"/>
          <w:lang w:val="en-US" w:eastAsia="zh-CN"/>
        </w:rPr>
        <w:t>原因：本年无政府性基金预算财政拨款收、支、余。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十、国有资本经营预算财政拨款支出决算情况说明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锡林郭勒盟发展和改革委员会（本级）2023年度国有资本经营预算财政拨款支出决算0.00万元。与上年决算</w:t>
      </w:r>
      <w:r>
        <w:rPr>
          <w:rFonts w:hint="default" w:ascii="Times New Roman" w:hAnsi="Times New Roman" w:eastAsia="仿宋" w:cs="Times New Roman"/>
          <w:b w:val="0"/>
          <w:bCs w:val="0"/>
          <w:spacing w:val="13"/>
          <w:sz w:val="32"/>
          <w:szCs w:val="32"/>
          <w:lang w:val="en" w:eastAsia="zh-CN"/>
        </w:rPr>
        <w:t>一致。</w:t>
      </w:r>
      <w:r>
        <w:rPr>
          <w:rFonts w:hint="default" w:ascii="Times New Roman" w:hAnsi="Times New Roman" w:eastAsia="仿宋" w:cs="Times New Roman"/>
          <w:b w:val="0"/>
          <w:bCs w:val="0"/>
          <w:spacing w:val="13"/>
          <w:sz w:val="32"/>
          <w:szCs w:val="32"/>
          <w:lang w:val="en-US" w:eastAsia="zh-CN"/>
        </w:rPr>
        <w:t>原因：本年无国有资本经营预算财政拨款收、支、余。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十一、机构运行经费支出决算情况说明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锡林郭勒盟发展和改革委员会（本级）2023年度机构运行经费支出决算203.56万元。比上年决算相比，增加29.89万元，增长17.21%，变动原因：发改委购置一批办公设备。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十二、政府采购支出决算情况说明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政府采购支出总额63.06万元，其中：政府采购货物支出9.92万元、政府采购服务支出53.14万元。政府采购授予中小企业合同金额20.09万元，占政府采购支出总额的31.86%，其中：授予小微企业合同金额 20.09万元，占政府采购支出总额的31.86%</w:t>
      </w:r>
      <w:r>
        <w:rPr>
          <w:rFonts w:hint="default" w:ascii="Times New Roman" w:hAnsi="Times New Roman" w:eastAsia="仿宋" w:cs="Times New Roman"/>
          <w:b w:val="0"/>
          <w:bCs w:val="0"/>
          <w:color w:val="auto"/>
          <w:spacing w:val="13"/>
          <w:sz w:val="32"/>
          <w:szCs w:val="32"/>
          <w:lang w:val="en-US" w:eastAsia="zh-CN"/>
        </w:rPr>
        <w:t>；货物采购授予中小企业合同金额占货物支出金额的0%，服务采购授予中小企业合同金额占服务支出金额的37.81%。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十三、国有资产占用情况说明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锡林郭勒盟发展和改革委员会（本级）截至2023年12月31日，共有车辆4辆，</w:t>
      </w:r>
      <w:r>
        <w:rPr>
          <w:rFonts w:hint="default" w:ascii="Times New Roman" w:hAnsi="Times New Roman" w:eastAsia="仿宋" w:cs="Times New Roman"/>
          <w:b w:val="0"/>
          <w:bCs w:val="0"/>
          <w:spacing w:val="13"/>
          <w:sz w:val="32"/>
          <w:szCs w:val="32"/>
          <w:lang w:val="en" w:eastAsia="zh-CN"/>
        </w:rPr>
        <w:t>均为</w:t>
      </w:r>
      <w:r>
        <w:rPr>
          <w:rFonts w:hint="default" w:ascii="Times New Roman" w:hAnsi="Times New Roman" w:eastAsia="仿宋" w:cs="Times New Roman"/>
          <w:b w:val="0"/>
          <w:bCs w:val="0"/>
          <w:spacing w:val="13"/>
          <w:sz w:val="32"/>
          <w:szCs w:val="32"/>
          <w:lang w:val="en-US" w:eastAsia="zh-CN"/>
        </w:rPr>
        <w:t>机要通信用车；单价100万元（含）以上的设备（不含车辆）0台（套）。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黑体" w:cs="Times New Roman"/>
          <w:b w:val="0"/>
          <w:bCs w:val="0"/>
          <w:spacing w:val="13"/>
          <w:sz w:val="32"/>
          <w:szCs w:val="32"/>
          <w:lang w:val="en-US" w:eastAsia="zh-CN"/>
        </w:rPr>
      </w:pPr>
      <w:r>
        <w:rPr>
          <w:rFonts w:hint="default" w:ascii="Times New Roman" w:hAnsi="Times New Roman" w:eastAsia="黑体" w:cs="Times New Roman"/>
          <w:b w:val="0"/>
          <w:bCs w:val="0"/>
          <w:spacing w:val="13"/>
          <w:sz w:val="32"/>
          <w:szCs w:val="32"/>
          <w:lang w:val="en-US" w:eastAsia="zh-CN"/>
        </w:rPr>
        <w:t>十四、预算绩效情况说明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（一）预算绩效管理工作开展情况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锡林郭勒盟发展和改革委员会（本级）根据预算绩效管理要求组织对2023年一般公共预算项目支出全面开展绩效自评，其中一级项目</w:t>
      </w:r>
      <w:r>
        <w:rPr>
          <w:rFonts w:hint="default" w:ascii="Times New Roman" w:hAnsi="Times New Roman" w:eastAsia="仿宋" w:cs="Times New Roman"/>
          <w:b w:val="0"/>
          <w:bCs w:val="0"/>
          <w:spacing w:val="13"/>
          <w:sz w:val="32"/>
          <w:szCs w:val="32"/>
          <w:lang w:val="en" w:eastAsia="zh-CN"/>
        </w:rPr>
        <w:t>27</w:t>
      </w:r>
      <w:r>
        <w:rPr>
          <w:rFonts w:hint="default" w:ascii="Times New Roman" w:hAnsi="Times New Roman" w:eastAsia="仿宋" w:cs="Times New Roman"/>
          <w:b w:val="0"/>
          <w:bCs w:val="0"/>
          <w:spacing w:val="13"/>
          <w:sz w:val="32"/>
          <w:szCs w:val="32"/>
          <w:lang w:val="en-US" w:eastAsia="zh-CN"/>
        </w:rPr>
        <w:t>个，二级项目0个，共涉及资金1</w:t>
      </w:r>
      <w:r>
        <w:rPr>
          <w:rFonts w:hint="default" w:ascii="Times New Roman" w:hAnsi="Times New Roman" w:eastAsia="仿宋" w:cs="Times New Roman"/>
          <w:b w:val="0"/>
          <w:bCs w:val="0"/>
          <w:spacing w:val="13"/>
          <w:sz w:val="32"/>
          <w:szCs w:val="32"/>
          <w:lang w:val="en" w:eastAsia="zh-CN"/>
        </w:rPr>
        <w:t>379.04</w:t>
      </w:r>
      <w:r>
        <w:rPr>
          <w:rFonts w:hint="default" w:ascii="Times New Roman" w:hAnsi="Times New Roman" w:eastAsia="仿宋" w:cs="Times New Roman"/>
          <w:b w:val="0"/>
          <w:bCs w:val="0"/>
          <w:spacing w:val="13"/>
          <w:sz w:val="32"/>
          <w:szCs w:val="32"/>
          <w:lang w:val="en-US" w:eastAsia="zh-CN"/>
        </w:rPr>
        <w:t>万元，占一般公共预算项目支出总额的100%；无政府性基金预算项目。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楷体" w:cs="Times New Roman"/>
          <w:b w:val="0"/>
          <w:bCs w:val="0"/>
          <w:spacing w:val="13"/>
          <w:sz w:val="32"/>
          <w:szCs w:val="32"/>
          <w:lang w:val="en-US" w:eastAsia="zh-CN"/>
        </w:rPr>
      </w:pPr>
      <w:r>
        <w:rPr>
          <w:rFonts w:hint="default" w:ascii="Times New Roman" w:hAnsi="Times New Roman" w:eastAsia="楷体" w:cs="Times New Roman"/>
          <w:b w:val="0"/>
          <w:bCs w:val="0"/>
          <w:spacing w:val="13"/>
          <w:sz w:val="32"/>
          <w:szCs w:val="32"/>
          <w:lang w:val="en-US" w:eastAsia="zh-CN"/>
        </w:rPr>
        <w:t>（二）单位决算中项目绩效自评结果。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锡林郭勒盟发展和改革委员会（本级）2023年度在决算中反映</w:t>
      </w:r>
      <w:r>
        <w:rPr>
          <w:rFonts w:hint="default" w:ascii="Times New Roman" w:hAnsi="Times New Roman" w:eastAsia="仿宋" w:cs="Times New Roman"/>
          <w:b w:val="0"/>
          <w:bCs w:val="0"/>
          <w:spacing w:val="13"/>
          <w:sz w:val="32"/>
          <w:szCs w:val="32"/>
          <w:lang w:val="en" w:eastAsia="zh-CN"/>
        </w:rPr>
        <w:t>27</w:t>
      </w:r>
      <w:r>
        <w:rPr>
          <w:rFonts w:hint="default" w:ascii="Times New Roman" w:hAnsi="Times New Roman" w:eastAsia="仿宋" w:cs="Times New Roman"/>
          <w:b w:val="0"/>
          <w:bCs w:val="0"/>
          <w:spacing w:val="13"/>
          <w:sz w:val="32"/>
          <w:szCs w:val="32"/>
          <w:lang w:val="en-US" w:eastAsia="zh-CN"/>
        </w:rPr>
        <w:t>个一般公共预算项目的绩效自评结果。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default" w:ascii="Times New Roman" w:hAnsi="Times New Roman" w:eastAsia="仿宋" w:cs="Times New Roman"/>
          <w:b w:val="0"/>
          <w:bCs w:val="0"/>
          <w:spacing w:val="13"/>
          <w:sz w:val="32"/>
          <w:szCs w:val="32"/>
          <w:lang w:val="en-US" w:eastAsia="zh-CN"/>
        </w:rPr>
      </w:pPr>
      <w:r>
        <w:rPr>
          <w:rFonts w:hint="default" w:ascii="Times New Roman" w:hAnsi="Times New Roman" w:eastAsia="仿宋" w:cs="Times New Roman"/>
          <w:b w:val="0"/>
          <w:bCs w:val="0"/>
          <w:spacing w:val="13"/>
          <w:sz w:val="32"/>
          <w:szCs w:val="32"/>
          <w:lang w:val="en-US" w:eastAsia="zh-CN"/>
        </w:rPr>
        <w:t>1</w:t>
      </w:r>
      <w:r>
        <w:rPr>
          <w:rFonts w:hint="default" w:ascii="Times New Roman" w:hAnsi="Times New Roman" w:eastAsia="仿宋" w:cs="Times New Roman"/>
          <w:b w:val="0"/>
          <w:bCs w:val="0"/>
          <w:spacing w:val="13"/>
          <w:sz w:val="32"/>
          <w:szCs w:val="32"/>
          <w:lang w:val="en" w:eastAsia="zh-CN"/>
        </w:rPr>
        <w:t>.</w:t>
      </w:r>
      <w:r>
        <w:rPr>
          <w:rFonts w:hint="default" w:ascii="Times New Roman" w:hAnsi="Times New Roman" w:eastAsia="仿宋" w:cs="Times New Roman"/>
          <w:b w:val="0"/>
          <w:bCs w:val="0"/>
          <w:spacing w:val="13"/>
          <w:sz w:val="32"/>
          <w:szCs w:val="32"/>
          <w:lang w:val="en-US" w:eastAsia="zh-CN"/>
        </w:rPr>
        <w:t>“蒙企通”民营企业综合服务</w:t>
      </w:r>
      <w:bookmarkStart w:id="1" w:name="_GoBack"/>
      <w:bookmarkEnd w:id="1"/>
      <w:r>
        <w:rPr>
          <w:rFonts w:hint="default" w:eastAsia="仿宋" w:cs="Times New Roman"/>
          <w:b w:val="0"/>
          <w:bCs w:val="0"/>
          <w:spacing w:val="13"/>
          <w:sz w:val="32"/>
          <w:szCs w:val="32"/>
          <w:lang w:val="en" w:eastAsia="zh-CN"/>
        </w:rPr>
        <w:t>平台</w:t>
      </w:r>
      <w:r>
        <w:rPr>
          <w:rFonts w:hint="default" w:ascii="Times New Roman" w:hAnsi="Times New Roman" w:eastAsia="仿宋" w:cs="Times New Roman"/>
          <w:b w:val="0"/>
          <w:bCs w:val="0"/>
          <w:spacing w:val="13"/>
          <w:sz w:val="32"/>
          <w:szCs w:val="32"/>
          <w:lang w:val="en-US" w:eastAsia="zh-CN"/>
        </w:rPr>
        <w:t>区域端口使用及技术服务费项目自评综述：根据年初设定的绩效目标，项目自评得分100分。全年预算数为30万元，执行数为30万元，完成预算的100%。项目绩效目标完成情况：“蒙企通”民营企业综合服务</w:t>
      </w:r>
      <w:r>
        <w:rPr>
          <w:rFonts w:hint="default" w:eastAsia="仿宋" w:cs="Times New Roman"/>
          <w:b w:val="0"/>
          <w:bCs w:val="0"/>
          <w:spacing w:val="13"/>
          <w:sz w:val="32"/>
          <w:szCs w:val="32"/>
          <w:lang w:val="en" w:eastAsia="zh-CN"/>
        </w:rPr>
        <w:t>平台</w:t>
      </w:r>
      <w:r>
        <w:rPr>
          <w:rFonts w:hint="default" w:ascii="Times New Roman" w:hAnsi="Times New Roman" w:eastAsia="仿宋" w:cs="Times New Roman"/>
          <w:b w:val="0"/>
          <w:bCs w:val="0"/>
          <w:spacing w:val="13"/>
          <w:sz w:val="32"/>
          <w:szCs w:val="32"/>
          <w:lang w:val="en-US" w:eastAsia="zh-CN"/>
        </w:rPr>
        <w:t>区域端口使用及技术服费年度费用30万元已全额支付，第三方年度技术服务支持已完成。发现的主要问题及原因：无。下一步改进措施：合理安排资金支出进度，改进预算绩效管理措施，不断增强和落实绩效管理责任，着力提高资金使用效率，切实发挥专项资金作用，为锡林郭勒盟经济社会发展发挥发改力量。</w:t>
      </w:r>
    </w:p>
    <w:tbl>
      <w:tblPr>
        <w:tblStyle w:val="2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7"/>
        <w:gridCol w:w="878"/>
        <w:gridCol w:w="526"/>
        <w:gridCol w:w="830"/>
        <w:gridCol w:w="517"/>
        <w:gridCol w:w="518"/>
        <w:gridCol w:w="525"/>
        <w:gridCol w:w="525"/>
        <w:gridCol w:w="888"/>
        <w:gridCol w:w="521"/>
        <w:gridCol w:w="844"/>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336"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40"/>
                <w:szCs w:val="40"/>
                <w:u w:val="none"/>
              </w:rPr>
            </w:pPr>
            <w:r>
              <w:rPr>
                <w:rFonts w:hint="default" w:ascii="Times New Roman" w:hAnsi="Times New Roman" w:eastAsia="宋体" w:cs="Times New Roman"/>
                <w:b w:val="0"/>
                <w:bCs w:val="0"/>
                <w:i w:val="0"/>
                <w:color w:val="000000"/>
                <w:kern w:val="0"/>
                <w:sz w:val="40"/>
                <w:szCs w:val="40"/>
                <w:u w:val="none"/>
                <w:lang w:val="en-US" w:eastAsia="zh-CN" w:bidi="ar"/>
              </w:rPr>
              <w:t>项目支出绩效自评表</w:t>
            </w:r>
            <w:r>
              <w:rPr>
                <w:rFonts w:hint="default" w:ascii="Times New Roman" w:hAnsi="Times New Roman" w:eastAsia="宋体" w:cs="Times New Roman"/>
                <w:b w:val="0"/>
                <w:bCs w:val="0"/>
                <w:i w:val="0"/>
                <w:color w:val="000000"/>
                <w:kern w:val="0"/>
                <w:sz w:val="40"/>
                <w:szCs w:val="40"/>
                <w:u w:val="none"/>
                <w:lang w:val="en-US" w:eastAsia="zh-CN" w:bidi="ar"/>
              </w:rPr>
              <w:br w:type="textWrapping"/>
            </w:r>
            <w:r>
              <w:rPr>
                <w:rFonts w:hint="default" w:ascii="Times New Roman" w:hAnsi="Times New Roman" w:eastAsia="宋体" w:cs="Times New Roman"/>
                <w:b w:val="0"/>
                <w:bCs w:val="0"/>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项目名称</w:t>
            </w:r>
          </w:p>
        </w:tc>
        <w:tc>
          <w:tcPr>
            <w:tcW w:w="6581"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“蒙企通”民营企业综合服务</w:t>
            </w:r>
            <w:r>
              <w:rPr>
                <w:rFonts w:hint="default" w:cs="Times New Roman"/>
                <w:b w:val="0"/>
                <w:bCs w:val="0"/>
                <w:i w:val="0"/>
                <w:color w:val="000000"/>
                <w:kern w:val="0"/>
                <w:sz w:val="18"/>
                <w:szCs w:val="18"/>
                <w:u w:val="none"/>
                <w:lang w:val="en" w:eastAsia="zh-CN" w:bidi="ar"/>
              </w:rPr>
              <w:t>平台</w:t>
            </w:r>
            <w:r>
              <w:rPr>
                <w:rFonts w:hint="default" w:ascii="Times New Roman" w:hAnsi="Times New Roman" w:eastAsia="宋体" w:cs="Times New Roman"/>
                <w:b w:val="0"/>
                <w:bCs w:val="0"/>
                <w:i w:val="0"/>
                <w:color w:val="000000"/>
                <w:kern w:val="0"/>
                <w:sz w:val="18"/>
                <w:szCs w:val="18"/>
                <w:u w:val="none"/>
                <w:lang w:val="en-US" w:eastAsia="zh-CN" w:bidi="ar"/>
              </w:rPr>
              <w:t>区域端口使用及技术服务费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主管部门</w:t>
            </w:r>
          </w:p>
        </w:tc>
        <w:tc>
          <w:tcPr>
            <w:tcW w:w="239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锡林郭勒盟发展和改革委员会（部门）</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实施单位</w:t>
            </w:r>
          </w:p>
        </w:tc>
        <w:tc>
          <w:tcPr>
            <w:tcW w:w="31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项目资金</w:t>
            </w:r>
            <w:r>
              <w:rPr>
                <w:rFonts w:hint="default" w:ascii="Times New Roman" w:hAnsi="Times New Roman" w:eastAsia="宋体" w:cs="Times New Roman"/>
                <w:b w:val="0"/>
                <w:bCs w:val="0"/>
                <w:i w:val="0"/>
                <w:color w:val="000000"/>
                <w:kern w:val="0"/>
                <w:sz w:val="18"/>
                <w:szCs w:val="18"/>
                <w:u w:val="none"/>
                <w:lang w:val="en-US" w:eastAsia="zh-CN" w:bidi="ar"/>
              </w:rPr>
              <w:br w:type="textWrapping"/>
            </w: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宋体" w:cs="Times New Roman"/>
                <w:b w:val="0"/>
                <w:bCs w:val="0"/>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年初预算数</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全年预算数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全年执行数</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执行率（%）</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年度资金总额</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其中：财政拨款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30.00</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上年结转资金</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年度总体目标</w:t>
            </w:r>
          </w:p>
        </w:tc>
        <w:tc>
          <w:tcPr>
            <w:tcW w:w="291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预期目标</w:t>
            </w:r>
          </w:p>
        </w:tc>
        <w:tc>
          <w:tcPr>
            <w:tcW w:w="36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7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291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盟市、旗县利用好平台为辖区民营企业提供政策精准推送、受理反馈企业诉求、开展问卷调查等，提高为企服务水平。</w:t>
            </w:r>
          </w:p>
        </w:tc>
        <w:tc>
          <w:tcPr>
            <w:tcW w:w="366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“蒙企通”民营企业综合服务</w:t>
            </w:r>
            <w:r>
              <w:rPr>
                <w:rFonts w:hint="default" w:cs="Times New Roman"/>
                <w:b w:val="0"/>
                <w:bCs w:val="0"/>
                <w:i w:val="0"/>
                <w:color w:val="000000"/>
                <w:kern w:val="0"/>
                <w:sz w:val="18"/>
                <w:szCs w:val="18"/>
                <w:u w:val="none"/>
                <w:lang w:val="en" w:eastAsia="zh-CN" w:bidi="ar"/>
              </w:rPr>
              <w:t>平台</w:t>
            </w:r>
            <w:r>
              <w:rPr>
                <w:rFonts w:hint="default" w:ascii="Times New Roman" w:hAnsi="Times New Roman" w:eastAsia="宋体" w:cs="Times New Roman"/>
                <w:b w:val="0"/>
                <w:bCs w:val="0"/>
                <w:i w:val="0"/>
                <w:color w:val="000000"/>
                <w:kern w:val="0"/>
                <w:sz w:val="18"/>
                <w:szCs w:val="18"/>
                <w:u w:val="none"/>
                <w:lang w:val="en-US" w:eastAsia="zh-CN" w:bidi="ar"/>
              </w:rPr>
              <w:t>区域端口使用及技术服费年度费用30万元已全额支付，第三方年度技术服务支持已完成。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一级指标</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二级指标</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指标性质</w:t>
            </w:r>
          </w:p>
        </w:tc>
        <w:tc>
          <w:tcPr>
            <w:tcW w:w="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指标方向</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年度指标值</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实际完成值</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计量单位</w:t>
            </w:r>
          </w:p>
        </w:tc>
        <w:tc>
          <w:tcPr>
            <w:tcW w:w="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产出指标</w:t>
            </w: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数量指标</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盟直相关单位接入量</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29</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29</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个</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端口接入技术服务及运营服务</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个</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质量指标</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服务运转规范率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接入平台并实现运行</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14</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时效指标</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合同支付及时率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完成时间</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2023年1月至2023年12月</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2023年1月至2023年12月</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成本指标</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预算（成本）控制率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端口接入技术服务及运营服务</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效益指标</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社会效益</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更好地为民营企业服务</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政策精准送达诉求及时反馈</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政策精准送达诉求及时反馈</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可持续影响</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通过接入“蒙企通”民营企业综合服务平台</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提高为民营企业服务效率及质量</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提高为民营企业服务效率及质量</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满意度指标</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服务对象满意度</w:t>
            </w:r>
          </w:p>
        </w:tc>
        <w:tc>
          <w:tcPr>
            <w:tcW w:w="8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主管单位满意度</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80</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w:t>
            </w:r>
          </w:p>
        </w:tc>
        <w:tc>
          <w:tcPr>
            <w:tcW w:w="88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0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总分</w:t>
            </w:r>
          </w:p>
        </w:tc>
        <w:tc>
          <w:tcPr>
            <w:tcW w:w="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2.</w:t>
      </w:r>
      <w:r>
        <w:rPr>
          <w:rFonts w:hint="default" w:ascii="Times New Roman" w:hAnsi="Times New Roman" w:eastAsia="仿宋" w:cs="Times New Roman"/>
          <w:b w:val="0"/>
          <w:bCs w:val="0"/>
          <w:kern w:val="0"/>
          <w:sz w:val="32"/>
          <w:szCs w:val="32"/>
          <w:lang w:eastAsia="zh-CN"/>
        </w:rPr>
        <w:t>重点工作推进</w:t>
      </w:r>
      <w:r>
        <w:rPr>
          <w:rFonts w:hint="default" w:ascii="Times New Roman" w:hAnsi="Times New Roman" w:eastAsia="仿宋" w:cs="Times New Roman"/>
          <w:b w:val="0"/>
          <w:bCs w:val="0"/>
          <w:kern w:val="0"/>
          <w:sz w:val="32"/>
          <w:szCs w:val="32"/>
        </w:rPr>
        <w:t>项目自评综述：根据年初设定的绩效目标，项目自评得分</w:t>
      </w:r>
      <w:r>
        <w:rPr>
          <w:rFonts w:hint="default" w:ascii="Times New Roman" w:hAnsi="Times New Roman" w:eastAsia="仿宋" w:cs="Times New Roman"/>
          <w:b w:val="0"/>
          <w:bCs w:val="0"/>
          <w:kern w:val="0"/>
          <w:sz w:val="32"/>
          <w:szCs w:val="32"/>
          <w:lang w:val="en-US" w:eastAsia="zh-CN"/>
        </w:rPr>
        <w:t>92.58</w:t>
      </w:r>
      <w:r>
        <w:rPr>
          <w:rFonts w:hint="default" w:ascii="Times New Roman" w:hAnsi="Times New Roman" w:eastAsia="仿宋" w:cs="Times New Roman"/>
          <w:b w:val="0"/>
          <w:bCs w:val="0"/>
          <w:kern w:val="0"/>
          <w:sz w:val="32"/>
          <w:szCs w:val="32"/>
        </w:rPr>
        <w:t>分。全年预算数为</w:t>
      </w:r>
      <w:r>
        <w:rPr>
          <w:rFonts w:hint="default" w:ascii="Times New Roman" w:hAnsi="Times New Roman" w:eastAsia="仿宋" w:cs="Times New Roman"/>
          <w:b w:val="0"/>
          <w:bCs w:val="0"/>
          <w:kern w:val="0"/>
          <w:sz w:val="32"/>
          <w:szCs w:val="32"/>
          <w:lang w:val="en-US" w:eastAsia="zh-CN"/>
        </w:rPr>
        <w:t>90</w:t>
      </w:r>
      <w:r>
        <w:rPr>
          <w:rFonts w:hint="default" w:ascii="Times New Roman" w:hAnsi="Times New Roman" w:eastAsia="仿宋" w:cs="Times New Roman"/>
          <w:b w:val="0"/>
          <w:bCs w:val="0"/>
          <w:kern w:val="0"/>
          <w:sz w:val="32"/>
          <w:szCs w:val="32"/>
        </w:rPr>
        <w:t>万元，执行数为</w:t>
      </w:r>
      <w:r>
        <w:rPr>
          <w:rFonts w:hint="default" w:ascii="Times New Roman" w:hAnsi="Times New Roman" w:eastAsia="仿宋" w:cs="Times New Roman"/>
          <w:b w:val="0"/>
          <w:bCs w:val="0"/>
          <w:kern w:val="0"/>
          <w:sz w:val="32"/>
          <w:szCs w:val="32"/>
          <w:lang w:val="en-US" w:eastAsia="zh-CN"/>
        </w:rPr>
        <w:t>68.2</w:t>
      </w:r>
      <w:r>
        <w:rPr>
          <w:rFonts w:hint="default" w:ascii="Times New Roman" w:hAnsi="Times New Roman" w:eastAsia="仿宋" w:cs="Times New Roman"/>
          <w:b w:val="0"/>
          <w:bCs w:val="0"/>
          <w:kern w:val="0"/>
          <w:sz w:val="32"/>
          <w:szCs w:val="32"/>
        </w:rPr>
        <w:t>万元，完成预算的</w:t>
      </w:r>
      <w:r>
        <w:rPr>
          <w:rFonts w:hint="default" w:ascii="Times New Roman" w:hAnsi="Times New Roman" w:eastAsia="仿宋" w:cs="Times New Roman"/>
          <w:b w:val="0"/>
          <w:bCs w:val="0"/>
          <w:kern w:val="0"/>
          <w:sz w:val="32"/>
          <w:szCs w:val="32"/>
          <w:lang w:val="en-US" w:eastAsia="zh-CN"/>
        </w:rPr>
        <w:t>75.78</w:t>
      </w:r>
      <w:r>
        <w:rPr>
          <w:rFonts w:hint="default" w:ascii="Times New Roman" w:hAnsi="Times New Roman" w:eastAsia="仿宋" w:cs="Times New Roman"/>
          <w:b w:val="0"/>
          <w:bCs w:val="0"/>
          <w:kern w:val="0"/>
          <w:sz w:val="32"/>
          <w:szCs w:val="32"/>
        </w:rPr>
        <w:t>%。项目绩效目标完成情况：全年支出68.2万元，包括支出17.4万元聘请法律顾问，就单位日常事务中的法律问题提供法律意见，对有关法律问题进行可行性法律分析和风险分析，予以口头解答咨询或书面提供法律意见、建议；支出0.7万元用于2024年度离休和副处级以上人员报刊订阅费等支出，持续贯彻落实各级老干部政策，为离退休的老同志办好事，办实事；支出50.10万元用于电子政务内网机房建设，实现机关内部与自治区、盟委、行署各部门及各旗县市（区）之间电子公文（涉密）的交换。发现的主要问题及原因：</w:t>
      </w:r>
      <w:r>
        <w:rPr>
          <w:rFonts w:hint="default" w:ascii="Times New Roman" w:hAnsi="Times New Roman" w:eastAsia="仿宋" w:cs="Times New Roman"/>
          <w:b w:val="0"/>
          <w:bCs w:val="0"/>
          <w:kern w:val="0"/>
          <w:sz w:val="32"/>
          <w:szCs w:val="32"/>
          <w:lang w:eastAsia="zh-CN"/>
        </w:rPr>
        <w:t>无</w:t>
      </w:r>
      <w:r>
        <w:rPr>
          <w:rFonts w:hint="default" w:ascii="Times New Roman" w:hAnsi="Times New Roman" w:eastAsia="仿宋" w:cs="Times New Roman"/>
          <w:b w:val="0"/>
          <w:bCs w:val="0"/>
          <w:kern w:val="0"/>
          <w:sz w:val="32"/>
          <w:szCs w:val="32"/>
        </w:rPr>
        <w:t>。下一步改进措施：合理安排资金支出进度，改进预算绩效管理措施，不断增强和落实绩效管理责任，着力提高资金使用效率，切实发挥专项资金作用，用好项目评审资金，组织专家对建议书、可行性研究报告初步设计、核准申请报告进行评审,充分论证其必要性和可行性，为进一步完善投资决策程序，提高投资决策的科学性和民主性。</w:t>
      </w:r>
    </w:p>
    <w:tbl>
      <w:tblPr>
        <w:tblStyle w:val="20"/>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9"/>
        <w:gridCol w:w="868"/>
        <w:gridCol w:w="522"/>
        <w:gridCol w:w="824"/>
        <w:gridCol w:w="514"/>
        <w:gridCol w:w="513"/>
        <w:gridCol w:w="522"/>
        <w:gridCol w:w="522"/>
        <w:gridCol w:w="881"/>
        <w:gridCol w:w="516"/>
        <w:gridCol w:w="848"/>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331"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40"/>
                <w:szCs w:val="40"/>
                <w:u w:val="none"/>
              </w:rPr>
            </w:pPr>
            <w:r>
              <w:rPr>
                <w:rFonts w:hint="default" w:ascii="Times New Roman" w:hAnsi="Times New Roman" w:eastAsia="宋体" w:cs="Times New Roman"/>
                <w:b w:val="0"/>
                <w:bCs w:val="0"/>
                <w:i w:val="0"/>
                <w:color w:val="000000"/>
                <w:kern w:val="0"/>
                <w:sz w:val="40"/>
                <w:szCs w:val="40"/>
                <w:u w:val="none"/>
                <w:lang w:val="en-US" w:eastAsia="zh-CN" w:bidi="ar"/>
              </w:rPr>
              <w:t>项目支出绩效自评表</w:t>
            </w:r>
            <w:r>
              <w:rPr>
                <w:rFonts w:hint="default" w:ascii="Times New Roman" w:hAnsi="Times New Roman" w:eastAsia="宋体" w:cs="Times New Roman"/>
                <w:b w:val="0"/>
                <w:bCs w:val="0"/>
                <w:i w:val="0"/>
                <w:color w:val="000000"/>
                <w:kern w:val="0"/>
                <w:sz w:val="40"/>
                <w:szCs w:val="40"/>
                <w:u w:val="none"/>
                <w:lang w:val="en-US" w:eastAsia="zh-CN" w:bidi="ar"/>
              </w:rPr>
              <w:br w:type="textWrapping"/>
            </w:r>
            <w:r>
              <w:rPr>
                <w:rFonts w:hint="default" w:ascii="Times New Roman" w:hAnsi="Times New Roman" w:eastAsia="宋体" w:cs="Times New Roman"/>
                <w:b w:val="0"/>
                <w:bCs w:val="0"/>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项目名称</w:t>
            </w:r>
          </w:p>
        </w:tc>
        <w:tc>
          <w:tcPr>
            <w:tcW w:w="6594"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重点工作推进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主管部门</w:t>
            </w:r>
          </w:p>
        </w:tc>
        <w:tc>
          <w:tcPr>
            <w:tcW w:w="237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锡林郭勒盟发展和改革委员会（部门）</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实施单位</w:t>
            </w:r>
          </w:p>
        </w:tc>
        <w:tc>
          <w:tcPr>
            <w:tcW w:w="317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项目资金</w:t>
            </w:r>
            <w:r>
              <w:rPr>
                <w:rFonts w:hint="default" w:ascii="Times New Roman" w:hAnsi="Times New Roman" w:eastAsia="宋体" w:cs="Times New Roman"/>
                <w:b w:val="0"/>
                <w:bCs w:val="0"/>
                <w:i w:val="0"/>
                <w:color w:val="000000"/>
                <w:kern w:val="0"/>
                <w:sz w:val="18"/>
                <w:szCs w:val="18"/>
                <w:u w:val="none"/>
                <w:lang w:val="en-US" w:eastAsia="zh-CN" w:bidi="ar"/>
              </w:rPr>
              <w:br w:type="textWrapping"/>
            </w: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年初预算数</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全年预算数</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全年执行数</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执行率（%）</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年度资金总额</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90.00</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90.00</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68.20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75.78</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其中：财政拨款</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90.00</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90.00</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68.20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75.78</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上年结转资金</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其他资金</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年度总体目标</w:t>
            </w:r>
          </w:p>
        </w:tc>
        <w:tc>
          <w:tcPr>
            <w:tcW w:w="28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预期目标</w:t>
            </w:r>
          </w:p>
        </w:tc>
        <w:tc>
          <w:tcPr>
            <w:tcW w:w="369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28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完成电子政务内网接入点机房建设、招聘法律顾问、因公伤残及离退休人员管理。</w:t>
            </w:r>
          </w:p>
        </w:tc>
        <w:tc>
          <w:tcPr>
            <w:tcW w:w="369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支出68.2万元，包括支出17.4万元聘请法律顾问，就单位日常事务中的法律问题提供法律意见，对有关法律问题进行可行性法律分析和风险分析，予以口头解答咨询或书面提供法律意见、建议；支出0.7万元用于2024年度离休和副处级以上人员报刊订阅费等支出，持续贯彻落实各级老干部政策，为离退休的老同志办好事，办实事；支出50.10万元用于电子政务内网机房建设，实现机关内部与自治区、盟委、行署各部门及各旗县市（区）之间电子公文（涉密）的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一级指标</w:t>
            </w: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二级指标</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指标性质</w:t>
            </w: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指标方向</w:t>
            </w: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年度指标值</w:t>
            </w: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实际完成值</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计量单位</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8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6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产出指标</w:t>
            </w:r>
          </w:p>
        </w:tc>
        <w:tc>
          <w:tcPr>
            <w:tcW w:w="52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数量指标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招聘法律顾问人数</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名</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因公致残及文革伤残人员数量</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人</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质量指标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电子机房验收合格率</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电子机房运行保障率</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时效指标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支出及时率</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法律顾问服务期限</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电子政务内网接入点机房建设经费</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40</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50.1</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因购置普通密码设备PYY2018313千兆网络密码机1台22万元，电子政务内网机房建设实际支出50.10万元，比预计40万元高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法律顾问经费</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40</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17.4</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支出17.4万元聘请法律顾问，就单位日常事务中的法律问题提供法律意见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因公伤残及离退休人员管理经费</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0.7</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支出0.7万元用于2024年度离休和副处级以上人员报刊订阅费等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效益指标</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经济效益</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通过聘请法律顾问</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提高离退休人员生活待遇</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提高离退休人员生活待遇</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社会效益</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通过发放离退休人员专项补助</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提高离退休人员生活待遇</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提高离退休人员生活待遇</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可持续影响</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通过建设电子政务内网接入点机房</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进一步提高政府政务办公网络化、透明化、公开化、规范化、标准化和流程化水平</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进一步提高政府政务办公网络化、透明化、公开化、规范化、标准化和流程化水平</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6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6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满意度指标</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服务对象满意度</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工作人员满意度</w:t>
            </w:r>
          </w:p>
        </w:tc>
        <w:tc>
          <w:tcPr>
            <w:tcW w:w="51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2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035"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总分</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92.58</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lang w:val="en-US" w:eastAsia="zh-CN"/>
        </w:rPr>
        <w:t>3.</w:t>
      </w:r>
      <w:r>
        <w:rPr>
          <w:rFonts w:hint="default" w:ascii="Times New Roman" w:hAnsi="Times New Roman" w:eastAsia="仿宋" w:cs="Times New Roman"/>
          <w:b w:val="0"/>
          <w:bCs w:val="0"/>
          <w:kern w:val="0"/>
          <w:sz w:val="32"/>
          <w:szCs w:val="32"/>
          <w:lang w:eastAsia="zh-CN"/>
        </w:rPr>
        <w:t>全盟重点工作推进</w:t>
      </w:r>
      <w:r>
        <w:rPr>
          <w:rFonts w:hint="default" w:ascii="Times New Roman" w:hAnsi="Times New Roman" w:eastAsia="仿宋" w:cs="Times New Roman"/>
          <w:b w:val="0"/>
          <w:bCs w:val="0"/>
          <w:kern w:val="0"/>
          <w:sz w:val="32"/>
          <w:szCs w:val="32"/>
        </w:rPr>
        <w:t>项目自评综述：根据年初设定的绩效目标，项目自评得分</w:t>
      </w:r>
      <w:r>
        <w:rPr>
          <w:rFonts w:hint="default" w:ascii="Times New Roman" w:hAnsi="Times New Roman" w:eastAsia="仿宋" w:cs="Times New Roman"/>
          <w:b w:val="0"/>
          <w:bCs w:val="0"/>
          <w:kern w:val="0"/>
          <w:sz w:val="32"/>
          <w:szCs w:val="32"/>
          <w:lang w:val="en-US" w:eastAsia="zh-CN"/>
        </w:rPr>
        <w:t>95.78</w:t>
      </w:r>
      <w:r>
        <w:rPr>
          <w:rFonts w:hint="default" w:ascii="Times New Roman" w:hAnsi="Times New Roman" w:eastAsia="仿宋" w:cs="Times New Roman"/>
          <w:b w:val="0"/>
          <w:bCs w:val="0"/>
          <w:kern w:val="0"/>
          <w:sz w:val="32"/>
          <w:szCs w:val="32"/>
        </w:rPr>
        <w:t>分。全年预算数为</w:t>
      </w:r>
      <w:r>
        <w:rPr>
          <w:rFonts w:hint="default" w:ascii="Times New Roman" w:hAnsi="Times New Roman" w:eastAsia="仿宋" w:cs="Times New Roman"/>
          <w:b w:val="0"/>
          <w:bCs w:val="0"/>
          <w:kern w:val="0"/>
          <w:sz w:val="32"/>
          <w:szCs w:val="32"/>
          <w:lang w:val="en-US" w:eastAsia="zh-CN"/>
        </w:rPr>
        <w:t>430</w:t>
      </w:r>
      <w:r>
        <w:rPr>
          <w:rFonts w:hint="default" w:ascii="Times New Roman" w:hAnsi="Times New Roman" w:eastAsia="仿宋" w:cs="Times New Roman"/>
          <w:b w:val="0"/>
          <w:bCs w:val="0"/>
          <w:kern w:val="0"/>
          <w:sz w:val="32"/>
          <w:szCs w:val="32"/>
        </w:rPr>
        <w:t>万元，执行数为</w:t>
      </w:r>
      <w:r>
        <w:rPr>
          <w:rFonts w:hint="default" w:ascii="Times New Roman" w:hAnsi="Times New Roman" w:eastAsia="仿宋" w:cs="Times New Roman"/>
          <w:b w:val="0"/>
          <w:bCs w:val="0"/>
          <w:kern w:val="0"/>
          <w:sz w:val="32"/>
          <w:szCs w:val="32"/>
          <w:lang w:val="en-US" w:eastAsia="zh-CN"/>
        </w:rPr>
        <w:t>397.48</w:t>
      </w:r>
      <w:r>
        <w:rPr>
          <w:rFonts w:hint="default" w:ascii="Times New Roman" w:hAnsi="Times New Roman" w:eastAsia="仿宋" w:cs="Times New Roman"/>
          <w:b w:val="0"/>
          <w:bCs w:val="0"/>
          <w:kern w:val="0"/>
          <w:sz w:val="32"/>
          <w:szCs w:val="32"/>
        </w:rPr>
        <w:t>万元，完成预算的</w:t>
      </w:r>
      <w:r>
        <w:rPr>
          <w:rFonts w:hint="default" w:ascii="Times New Roman" w:hAnsi="Times New Roman" w:eastAsia="仿宋" w:cs="Times New Roman"/>
          <w:b w:val="0"/>
          <w:bCs w:val="0"/>
          <w:kern w:val="0"/>
          <w:sz w:val="32"/>
          <w:szCs w:val="32"/>
          <w:lang w:val="en-US" w:eastAsia="zh-CN"/>
        </w:rPr>
        <w:t>92.44</w:t>
      </w:r>
      <w:r>
        <w:rPr>
          <w:rFonts w:hint="default" w:ascii="Times New Roman" w:hAnsi="Times New Roman" w:eastAsia="仿宋" w:cs="Times New Roman"/>
          <w:b w:val="0"/>
          <w:bCs w:val="0"/>
          <w:kern w:val="0"/>
          <w:sz w:val="32"/>
          <w:szCs w:val="32"/>
        </w:rPr>
        <w:t>%。项目绩效目标完成情况：全年支出397.48万元，明细如下：支出项目建议书、可行性研究报告、初步设计、核准申请报告评审50.17万元；推进太子城至锡林浩特铁路建设工作经费差旅费5.34万元；节能工作经费16.79万元，包括节能宣传周借助出租车顶灯广告屏及电梯间显示屏广告宣传费3万元、锡盟节能宣传周启动仪式服务费6.89万元、差旅费6.9万元；招商引资专项经费39.52万元，包括2023春锡林郭勒招商推介会17.7万元、锡林郭勒2023年投资指引设计制作6.86万元、差旅费14.96万元；自治区“蒙企通”民营企业综合服务</w:t>
      </w:r>
      <w:r>
        <w:rPr>
          <w:rFonts w:hint="default" w:eastAsia="仿宋" w:cs="Times New Roman"/>
          <w:b w:val="0"/>
          <w:bCs w:val="0"/>
          <w:kern w:val="0"/>
          <w:sz w:val="32"/>
          <w:szCs w:val="32"/>
          <w:lang w:val="en"/>
        </w:rPr>
        <w:t>平台</w:t>
      </w:r>
      <w:r>
        <w:rPr>
          <w:rFonts w:hint="default" w:ascii="Times New Roman" w:hAnsi="Times New Roman" w:eastAsia="仿宋" w:cs="Times New Roman"/>
          <w:b w:val="0"/>
          <w:bCs w:val="0"/>
          <w:kern w:val="0"/>
          <w:sz w:val="32"/>
          <w:szCs w:val="32"/>
        </w:rPr>
        <w:t>区域端口使用及技术服务费30万元；2023年度营商环境评估指导培训0.74万元；社会信用体系建设专项经费59.35万元，包括锡盟公共信用信息系统安全测评6.7万元、锡盟社会信用体系建设一体化运维服务费11.59万元、锡盟公共信用信息平台展示宣传学习屏31.64万元、印制《锡林郭勒盟社会信用体系建设重点工作指导手册》1.74万元、锡盟公共信用信息平台升级运行启动仪式暨诚信建设万里行宣传活动材料1.64万元、差旅费6.05万元；锡盟国民经济和社会发展第十四个五年规划和2035年愿景目标纲要实施情况中期评估服务费15万元；全盟服务业高质量发展专题培训费18.99万元；粮食流通统计库存检查应急供应网点补助粮食安全检验监测等经费20.20万元，包括全区粮食和物资储备科技活动印刷费1.18万元、粮食应急供应网点补助资金11.73万元、锡盟粮食和物资保障中心粮油质检实验室试剂药品资金4.96万元、粮食执法检查等差旅费2.33万元；《锡林郭勒盟优势特色产业链》编制费27万元；成本调查监审差旅费1.83万元；重点项目前期工作项目经费112.55万元，包括全盟重大项目开工仪式互联网专线和会议视频系统租用费用28万元、办公费20.4万元、差旅费59.18万元、印刷费4.97万元。一是通过对40个政府投资项目建议书、可行性研究报告、初步设计、核准申请报告进行评审，充分论证其必要性和可行性，为进一步完善投资决策程序，提高投资决策的科学性和民主性。二是太锡铁路项目2023年内蒙古段已全面开工建设，已完成投资计划的88%。发现的主要问题及原因：</w:t>
      </w:r>
      <w:r>
        <w:rPr>
          <w:rFonts w:hint="default" w:ascii="Times New Roman" w:hAnsi="Times New Roman" w:eastAsia="仿宋" w:cs="Times New Roman"/>
          <w:b w:val="0"/>
          <w:bCs w:val="0"/>
          <w:kern w:val="0"/>
          <w:sz w:val="32"/>
          <w:szCs w:val="32"/>
          <w:lang w:eastAsia="zh-CN"/>
        </w:rPr>
        <w:t>无</w:t>
      </w:r>
      <w:r>
        <w:rPr>
          <w:rFonts w:hint="default" w:ascii="Times New Roman" w:hAnsi="Times New Roman" w:eastAsia="仿宋" w:cs="Times New Roman"/>
          <w:b w:val="0"/>
          <w:bCs w:val="0"/>
          <w:kern w:val="0"/>
          <w:sz w:val="32"/>
          <w:szCs w:val="32"/>
        </w:rPr>
        <w:t>。下一步改进措施：我们将在下一步的工作中，认真总结经验，做好绩效自评结果应用，对专项资金项目绩效自评过程中发现的问题进行分析研判，完善机制和制度建设，着力抓好经费预算规范管理，合理安排资金支出进度，改进预算绩效管理措施，不断增强和落实绩效管理责任，着力提高资金使用效率，切实发挥专项资金作用，为锡林郭勒盟经济社会发展发挥发改力量。</w:t>
      </w:r>
    </w:p>
    <w:tbl>
      <w:tblPr>
        <w:tblStyle w:val="2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7"/>
        <w:gridCol w:w="877"/>
        <w:gridCol w:w="525"/>
        <w:gridCol w:w="824"/>
        <w:gridCol w:w="520"/>
        <w:gridCol w:w="519"/>
        <w:gridCol w:w="516"/>
        <w:gridCol w:w="530"/>
        <w:gridCol w:w="887"/>
        <w:gridCol w:w="520"/>
        <w:gridCol w:w="854"/>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336"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40"/>
                <w:szCs w:val="40"/>
                <w:u w:val="none"/>
              </w:rPr>
            </w:pPr>
            <w:r>
              <w:rPr>
                <w:rFonts w:hint="default" w:ascii="Times New Roman" w:hAnsi="Times New Roman" w:eastAsia="宋体" w:cs="Times New Roman"/>
                <w:b w:val="0"/>
                <w:bCs w:val="0"/>
                <w:i w:val="0"/>
                <w:color w:val="000000"/>
                <w:kern w:val="0"/>
                <w:sz w:val="40"/>
                <w:szCs w:val="40"/>
                <w:u w:val="none"/>
                <w:lang w:val="en-US" w:eastAsia="zh-CN" w:bidi="ar"/>
              </w:rPr>
              <w:t>项目支出绩效自评表</w:t>
            </w:r>
            <w:r>
              <w:rPr>
                <w:rFonts w:hint="default" w:ascii="Times New Roman" w:hAnsi="Times New Roman" w:eastAsia="宋体" w:cs="Times New Roman"/>
                <w:b w:val="0"/>
                <w:bCs w:val="0"/>
                <w:i w:val="0"/>
                <w:color w:val="000000"/>
                <w:kern w:val="0"/>
                <w:sz w:val="40"/>
                <w:szCs w:val="40"/>
                <w:u w:val="none"/>
                <w:lang w:val="en-US" w:eastAsia="zh-CN" w:bidi="ar"/>
              </w:rPr>
              <w:br w:type="textWrapping"/>
            </w:r>
            <w:r>
              <w:rPr>
                <w:rFonts w:hint="default" w:ascii="Times New Roman" w:hAnsi="Times New Roman" w:eastAsia="宋体" w:cs="Times New Roman"/>
                <w:b w:val="0"/>
                <w:bCs w:val="0"/>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项目名称</w:t>
            </w:r>
          </w:p>
        </w:tc>
        <w:tc>
          <w:tcPr>
            <w:tcW w:w="6582"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全盟重点工作推进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主管部门</w:t>
            </w:r>
          </w:p>
        </w:tc>
        <w:tc>
          <w:tcPr>
            <w:tcW w:w="238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锡林郭勒盟发展和改革委员会（部门）</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实施单位</w:t>
            </w:r>
          </w:p>
        </w:tc>
        <w:tc>
          <w:tcPr>
            <w:tcW w:w="314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项目资金</w:t>
            </w:r>
            <w:r>
              <w:rPr>
                <w:rFonts w:hint="default" w:ascii="Times New Roman" w:hAnsi="Times New Roman" w:eastAsia="宋体" w:cs="Times New Roman"/>
                <w:b w:val="0"/>
                <w:bCs w:val="0"/>
                <w:i w:val="0"/>
                <w:color w:val="000000"/>
                <w:kern w:val="0"/>
                <w:sz w:val="18"/>
                <w:szCs w:val="18"/>
                <w:u w:val="none"/>
                <w:lang w:val="en-US" w:eastAsia="zh-CN" w:bidi="ar"/>
              </w:rPr>
              <w:br w:type="textWrapping"/>
            </w: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宋体" w:cs="Times New Roman"/>
                <w:b w:val="0"/>
                <w:bCs w:val="0"/>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年初预算数</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全年预算数</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全年执行数</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执行率（%）</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年度资金总额</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430.00</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397.48</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92.44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其中：财政拨款</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430.00</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397.48</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92.44</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上年结转资金</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其他资金</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年度总体目标</w:t>
            </w:r>
          </w:p>
        </w:tc>
        <w:tc>
          <w:tcPr>
            <w:tcW w:w="290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预期目标</w:t>
            </w:r>
          </w:p>
        </w:tc>
        <w:tc>
          <w:tcPr>
            <w:tcW w:w="367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75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290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一是通过对建议书、可行性研究报告、初步设计、核准申请报告进行评审，充分论证其必要性和可行性，为进一步完善投资决策程序，提高投资决策的科学性和民主性。二是全面开工建设太子城至锡林浩特铁路。</w:t>
            </w:r>
          </w:p>
        </w:tc>
        <w:tc>
          <w:tcPr>
            <w:tcW w:w="367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支出397.48万元，明细如下：支出项目建议书、可行性研究报告、初步设计、核准申请报告评审50.17万元；推进太子城至锡林浩特铁路建设工作经费差旅费5.34万元；节能工作经费16.79万元，包括节能宣传周借助出租车顶灯广告屏及电梯间显示屏广告宣传费3万元、锡盟节能宣传周启动仪式服务费6.89万元、差旅费6.9万元；招商引资专项经费39.52万元，包括2023春锡林郭勒招商推介会17.7万元、锡林郭勒2023年投资指引设计制作6.86万元、差旅费14.96万元；自治区“蒙企通”民营企业综合服务</w:t>
            </w:r>
            <w:r>
              <w:rPr>
                <w:rFonts w:hint="default" w:cs="Times New Roman"/>
                <w:b w:val="0"/>
                <w:bCs w:val="0"/>
                <w:i w:val="0"/>
                <w:color w:val="000000"/>
                <w:kern w:val="0"/>
                <w:sz w:val="18"/>
                <w:szCs w:val="18"/>
                <w:u w:val="none"/>
                <w:lang w:val="en" w:eastAsia="zh-CN" w:bidi="ar"/>
              </w:rPr>
              <w:t>平台</w:t>
            </w:r>
            <w:r>
              <w:rPr>
                <w:rFonts w:hint="default" w:ascii="Times New Roman" w:hAnsi="Times New Roman" w:eastAsia="宋体" w:cs="Times New Roman"/>
                <w:b w:val="0"/>
                <w:bCs w:val="0"/>
                <w:i w:val="0"/>
                <w:color w:val="000000"/>
                <w:kern w:val="0"/>
                <w:sz w:val="18"/>
                <w:szCs w:val="18"/>
                <w:u w:val="none"/>
                <w:lang w:val="en-US" w:eastAsia="zh-CN" w:bidi="ar"/>
              </w:rPr>
              <w:t>区域端口使用及技术服务费30万元；2023年度营商环境评估指导培训0.74万元；社会信用体系建设专项经费59.35万元，包括锡盟公共信用信息系统安全测评6.7万元、锡盟社会信用体系建设一体化运维服务费11.59万元、锡盟公共信用信息平台展示宣传学习屏31.64万元、印制《锡林郭勒盟社会信用体系建设重点工作指导手册》1.74万元、锡盟公共信用信息平台升级运行启动仪式暨诚信建设万里行宣传活动材料1.64万元、差旅费6.05万元；锡盟国民经济和社会发展第十四个五年规划和2035年愿景目标纲要实施情况中期评估服务费15万元；全盟服务业高质量发展专题培训费18.99万元；粮食流通统计库存检查应急供应网点补助粮食安全检验监测等经费20.20万元，包括全区粮食和物资储备科技活动印刷费1.18万元、粮食应急供应网点补助资金11.73万元、锡盟粮食和物资保障中心粮油质检实验室试剂药品资金4.96万元、粮食执法检查等差旅费2.33万元；《锡林郭勒盟优势特色产业链》编制费27万元；成本调查监审差旅费1.83万元；重点项目前期工作项目经费112.55万元，包括全盟重大项目开工仪式互联网专线和会议视频系统租用费用28万元、办公费20.4万元、差旅费59.18万元、印刷费4.97万元。一是通过对40个政府投资项目建议书、可行性研究报告、初步设计、核准申请报告进行评审，充分论证其必要性和可行性，为进一步完善投资决策程序，提高投资决策的科学性和民主性。二是太锡铁路项目2023年内蒙古段已全面开工建设，已完成投资计划的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一级指标</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二级指标</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指标性质</w:t>
            </w:r>
          </w:p>
        </w:tc>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指标方向</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年度指标值</w:t>
            </w:r>
          </w:p>
        </w:tc>
        <w:tc>
          <w:tcPr>
            <w:tcW w:w="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实际完成值</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计量单位</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产出指标</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数量指标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评审项目数量</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52</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个</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11.54</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质量指标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评审通过率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时效指标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合同支付及时率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成本指标</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成本控制率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7.56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效益指标</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经济效益</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全盟重点项目开工率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98.81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社会效益</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社会事业项目评审通过率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生态效益</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节能评审通过率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可持续影响</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促进锡盟经济增长</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满意度指标</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服务对象满意度</w:t>
            </w:r>
          </w:p>
        </w:tc>
        <w:tc>
          <w:tcPr>
            <w:tcW w:w="82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项目单位投诉率</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5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075"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总分</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95.78</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lang w:val="en-US" w:eastAsia="zh-CN"/>
        </w:rPr>
        <w:t>4.</w:t>
      </w:r>
      <w:r>
        <w:rPr>
          <w:rFonts w:hint="default" w:ascii="Times New Roman" w:hAnsi="Times New Roman" w:eastAsia="仿宋" w:cs="Times New Roman"/>
          <w:b w:val="0"/>
          <w:bCs w:val="0"/>
          <w:kern w:val="0"/>
          <w:sz w:val="32"/>
          <w:szCs w:val="32"/>
        </w:rPr>
        <w:t>2022年招商引资现代物流产业链全产业链（第一批）项目自评综述：根据年初设定的绩效目标，项目自评得分</w:t>
      </w:r>
      <w:r>
        <w:rPr>
          <w:rFonts w:hint="default" w:ascii="Times New Roman" w:hAnsi="Times New Roman" w:eastAsia="仿宋" w:cs="Times New Roman"/>
          <w:b w:val="0"/>
          <w:bCs w:val="0"/>
          <w:kern w:val="0"/>
          <w:sz w:val="32"/>
          <w:szCs w:val="32"/>
          <w:lang w:val="en-US" w:eastAsia="zh-CN"/>
        </w:rPr>
        <w:t>100</w:t>
      </w:r>
      <w:r>
        <w:rPr>
          <w:rFonts w:hint="default" w:ascii="Times New Roman" w:hAnsi="Times New Roman" w:eastAsia="仿宋" w:cs="Times New Roman"/>
          <w:b w:val="0"/>
          <w:bCs w:val="0"/>
          <w:kern w:val="0"/>
          <w:sz w:val="32"/>
          <w:szCs w:val="32"/>
        </w:rPr>
        <w:t>分。全年预算数为</w:t>
      </w:r>
      <w:r>
        <w:rPr>
          <w:rFonts w:hint="default" w:ascii="Times New Roman" w:hAnsi="Times New Roman" w:eastAsia="仿宋" w:cs="Times New Roman"/>
          <w:b w:val="0"/>
          <w:bCs w:val="0"/>
          <w:kern w:val="0"/>
          <w:sz w:val="32"/>
          <w:szCs w:val="32"/>
          <w:lang w:val="en-US" w:eastAsia="zh-CN"/>
        </w:rPr>
        <w:t>7.36</w:t>
      </w:r>
      <w:r>
        <w:rPr>
          <w:rFonts w:hint="default" w:ascii="Times New Roman" w:hAnsi="Times New Roman" w:eastAsia="仿宋" w:cs="Times New Roman"/>
          <w:b w:val="0"/>
          <w:bCs w:val="0"/>
          <w:kern w:val="0"/>
          <w:sz w:val="32"/>
          <w:szCs w:val="32"/>
        </w:rPr>
        <w:t>万元，执行数为</w:t>
      </w:r>
      <w:r>
        <w:rPr>
          <w:rFonts w:hint="default" w:ascii="Times New Roman" w:hAnsi="Times New Roman" w:eastAsia="仿宋" w:cs="Times New Roman"/>
          <w:b w:val="0"/>
          <w:bCs w:val="0"/>
          <w:kern w:val="0"/>
          <w:sz w:val="32"/>
          <w:szCs w:val="32"/>
          <w:lang w:val="en-US" w:eastAsia="zh-CN"/>
        </w:rPr>
        <w:t>7.36</w:t>
      </w:r>
      <w:r>
        <w:rPr>
          <w:rFonts w:hint="default" w:ascii="Times New Roman" w:hAnsi="Times New Roman" w:eastAsia="仿宋" w:cs="Times New Roman"/>
          <w:b w:val="0"/>
          <w:bCs w:val="0"/>
          <w:kern w:val="0"/>
          <w:sz w:val="32"/>
          <w:szCs w:val="32"/>
        </w:rPr>
        <w:t>万元，完成预算的</w:t>
      </w:r>
      <w:r>
        <w:rPr>
          <w:rFonts w:hint="default" w:ascii="Times New Roman" w:hAnsi="Times New Roman" w:eastAsia="仿宋" w:cs="Times New Roman"/>
          <w:b w:val="0"/>
          <w:bCs w:val="0"/>
          <w:kern w:val="0"/>
          <w:sz w:val="32"/>
          <w:szCs w:val="32"/>
          <w:lang w:val="en-US" w:eastAsia="zh-CN"/>
        </w:rPr>
        <w:t>100</w:t>
      </w:r>
      <w:r>
        <w:rPr>
          <w:rFonts w:hint="default" w:ascii="Times New Roman" w:hAnsi="Times New Roman" w:eastAsia="仿宋" w:cs="Times New Roman"/>
          <w:b w:val="0"/>
          <w:bCs w:val="0"/>
          <w:kern w:val="0"/>
          <w:sz w:val="32"/>
          <w:szCs w:val="32"/>
        </w:rPr>
        <w:t>%。项目绩效目标完成情况：2022年结转招商引资现代物流产业链全产业链（第一批）支出7.36万元，包括差旅费用支出2.36万元、更新锡林郭勒招商引资宣传片支出5万元，进一步促进我盟经济稳定增长、推动产业转型升级、增强经济发展新动能，需创新、务实开展招商引资前期工作。发现的主要问题及原因：</w:t>
      </w:r>
      <w:r>
        <w:rPr>
          <w:rFonts w:hint="default" w:ascii="Times New Roman" w:hAnsi="Times New Roman" w:eastAsia="仿宋" w:cs="Times New Roman"/>
          <w:b w:val="0"/>
          <w:bCs w:val="0"/>
          <w:kern w:val="0"/>
          <w:sz w:val="32"/>
          <w:szCs w:val="32"/>
          <w:lang w:eastAsia="zh-CN"/>
        </w:rPr>
        <w:t>无</w:t>
      </w:r>
      <w:r>
        <w:rPr>
          <w:rFonts w:hint="default" w:ascii="Times New Roman" w:hAnsi="Times New Roman" w:eastAsia="仿宋" w:cs="Times New Roman"/>
          <w:b w:val="0"/>
          <w:bCs w:val="0"/>
          <w:kern w:val="0"/>
          <w:sz w:val="32"/>
          <w:szCs w:val="32"/>
        </w:rPr>
        <w:t>。下一步改进措施：合理安排资金支出进度，改进预算绩效管理措施，不断增强和落实绩效管理责任，着力提高资金使用效率，切实发挥专项资金作用，为锡林郭勒盟经济社会发展发挥发改力量。</w:t>
      </w:r>
    </w:p>
    <w:tbl>
      <w:tblPr>
        <w:tblStyle w:val="2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8"/>
        <w:gridCol w:w="879"/>
        <w:gridCol w:w="526"/>
        <w:gridCol w:w="826"/>
        <w:gridCol w:w="516"/>
        <w:gridCol w:w="517"/>
        <w:gridCol w:w="525"/>
        <w:gridCol w:w="526"/>
        <w:gridCol w:w="889"/>
        <w:gridCol w:w="520"/>
        <w:gridCol w:w="847"/>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336"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40"/>
                <w:szCs w:val="40"/>
                <w:u w:val="none"/>
              </w:rPr>
            </w:pPr>
            <w:r>
              <w:rPr>
                <w:rFonts w:hint="default" w:ascii="Times New Roman" w:hAnsi="Times New Roman" w:eastAsia="宋体" w:cs="Times New Roman"/>
                <w:b w:val="0"/>
                <w:bCs w:val="0"/>
                <w:i w:val="0"/>
                <w:color w:val="000000"/>
                <w:kern w:val="0"/>
                <w:sz w:val="40"/>
                <w:szCs w:val="40"/>
                <w:u w:val="none"/>
                <w:lang w:val="en-US" w:eastAsia="zh-CN" w:bidi="ar"/>
              </w:rPr>
              <w:t>项目支出绩效自评表</w:t>
            </w:r>
            <w:r>
              <w:rPr>
                <w:rFonts w:hint="default" w:ascii="Times New Roman" w:hAnsi="Times New Roman" w:eastAsia="宋体" w:cs="Times New Roman"/>
                <w:b w:val="0"/>
                <w:bCs w:val="0"/>
                <w:i w:val="0"/>
                <w:color w:val="000000"/>
                <w:kern w:val="0"/>
                <w:sz w:val="40"/>
                <w:szCs w:val="40"/>
                <w:u w:val="none"/>
                <w:lang w:val="en-US" w:eastAsia="zh-CN" w:bidi="ar"/>
              </w:rPr>
              <w:br w:type="textWrapping"/>
            </w:r>
            <w:r>
              <w:rPr>
                <w:rFonts w:hint="default" w:ascii="Times New Roman" w:hAnsi="Times New Roman" w:eastAsia="宋体" w:cs="Times New Roman"/>
                <w:b w:val="0"/>
                <w:bCs w:val="0"/>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项目名称</w:t>
            </w:r>
          </w:p>
        </w:tc>
        <w:tc>
          <w:tcPr>
            <w:tcW w:w="657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2022年招商引资现代物流产业链全产业链（第一批）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主管部门</w:t>
            </w:r>
          </w:p>
        </w:tc>
        <w:tc>
          <w:tcPr>
            <w:tcW w:w="238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锡林郭勒盟发展和改革委员会（部门）</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实施单位</w:t>
            </w:r>
          </w:p>
        </w:tc>
        <w:tc>
          <w:tcPr>
            <w:tcW w:w="314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项目资金</w:t>
            </w:r>
            <w:r>
              <w:rPr>
                <w:rFonts w:hint="default" w:ascii="Times New Roman" w:hAnsi="Times New Roman" w:eastAsia="宋体" w:cs="Times New Roman"/>
                <w:b w:val="0"/>
                <w:bCs w:val="0"/>
                <w:i w:val="0"/>
                <w:color w:val="000000"/>
                <w:kern w:val="0"/>
                <w:sz w:val="18"/>
                <w:szCs w:val="18"/>
                <w:u w:val="none"/>
                <w:lang w:val="en-US" w:eastAsia="zh-CN" w:bidi="ar"/>
              </w:rPr>
              <w:br w:type="textWrapping"/>
            </w: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年初预算数</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全年预算数</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全年执行数</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执行率（%）</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年度资金总额</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其中：财政拨款</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7.36</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上年结转资金</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其他资金</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年度总体目标</w:t>
            </w:r>
          </w:p>
        </w:tc>
        <w:tc>
          <w:tcPr>
            <w:tcW w:w="29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预期目标</w:t>
            </w:r>
          </w:p>
        </w:tc>
        <w:tc>
          <w:tcPr>
            <w:tcW w:w="366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29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为了促进我盟经济稳定增长、推动产业转型升级、增强经济发展新动能，需创新、务实开展招商引资前期工作。</w:t>
            </w:r>
          </w:p>
        </w:tc>
        <w:tc>
          <w:tcPr>
            <w:tcW w:w="366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2022年结转招商引资现代物流产业链全产业链（第一批）支出7.36万元，包括差旅费用支出2.36万元、更新锡林郭勒招商引资宣传片支出5万元，进一步促进我盟经济稳定增长、推动产业转型升级、增强经济发展新动能，需创新、务实开展招商引资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一级指标</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二级指标</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指标性质</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指标方向</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年度指标值</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实际完成值</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计量单位</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产出指标</w:t>
            </w: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数量指标</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差旅费用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根据具体工作安排</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2.36万元</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招商视频资料更新</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次</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质量指标</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引进国内区外到位资金增长</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招商引资项目数增长</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时效指标</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举办投资促进活动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招商视频资料更新</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成本指标</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招商视频资料更新</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差旅费用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反向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小于等于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2.36</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2.36</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效益指标</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经济效益</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通过开展招商引资活动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促进锡盟经济发展</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促进锡盟经济发展</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社会效益</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通过开展招商引资活动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间接促进就业增长</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间接促进就业增长</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生态效益</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通过开展招商引资活动策</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引进符合环保政策企业</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引进符合环保政策企业</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可持续影响</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通过开展招商引资活动</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促进锡盟经济发展</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促进锡盟经济发展</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通过开展招商引资</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提高锡盟区域合作水平</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提高锡盟区域合作水平</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8"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满意度指标</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服务对象满意度</w:t>
            </w:r>
          </w:p>
        </w:tc>
        <w:tc>
          <w:tcPr>
            <w:tcW w:w="8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社会公众满意度</w:t>
            </w:r>
          </w:p>
        </w:tc>
        <w:tc>
          <w:tcPr>
            <w:tcW w:w="51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w:t>
            </w:r>
          </w:p>
        </w:tc>
        <w:tc>
          <w:tcPr>
            <w:tcW w:w="52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95</w:t>
            </w:r>
          </w:p>
        </w:tc>
        <w:tc>
          <w:tcPr>
            <w:tcW w:w="88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08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总分</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lang w:val="en"/>
        </w:rPr>
        <w:t>5.</w:t>
      </w:r>
      <w:r>
        <w:rPr>
          <w:rFonts w:hint="default" w:ascii="Times New Roman" w:hAnsi="Times New Roman" w:eastAsia="仿宋" w:cs="Times New Roman"/>
          <w:b w:val="0"/>
          <w:bCs w:val="0"/>
          <w:kern w:val="0"/>
          <w:sz w:val="32"/>
          <w:szCs w:val="32"/>
        </w:rPr>
        <w:t>信用大数据基础设施建设暨全盟公共信用信息平台建设</w:t>
      </w:r>
      <w:r>
        <w:rPr>
          <w:rFonts w:hint="default" w:eastAsia="仿宋" w:cs="Times New Roman"/>
          <w:b w:val="0"/>
          <w:bCs w:val="0"/>
          <w:kern w:val="0"/>
          <w:sz w:val="32"/>
          <w:szCs w:val="32"/>
          <w:lang w:val="en"/>
        </w:rPr>
        <w:t>项目</w:t>
      </w:r>
      <w:r>
        <w:rPr>
          <w:rFonts w:hint="default" w:ascii="Times New Roman" w:hAnsi="Times New Roman" w:eastAsia="仿宋" w:cs="Times New Roman"/>
          <w:b w:val="0"/>
          <w:bCs w:val="0"/>
          <w:kern w:val="0"/>
          <w:sz w:val="32"/>
          <w:szCs w:val="32"/>
        </w:rPr>
        <w:t>自评综述：根据年初设定的绩效目标，项目自评得分</w:t>
      </w:r>
      <w:r>
        <w:rPr>
          <w:rFonts w:hint="default" w:ascii="Times New Roman" w:hAnsi="Times New Roman" w:eastAsia="仿宋" w:cs="Times New Roman"/>
          <w:b w:val="0"/>
          <w:bCs w:val="0"/>
          <w:kern w:val="0"/>
          <w:sz w:val="32"/>
          <w:szCs w:val="32"/>
          <w:lang w:val="en-US" w:eastAsia="zh-CN"/>
        </w:rPr>
        <w:t>100</w:t>
      </w:r>
      <w:r>
        <w:rPr>
          <w:rFonts w:hint="default" w:ascii="Times New Roman" w:hAnsi="Times New Roman" w:eastAsia="仿宋" w:cs="Times New Roman"/>
          <w:b w:val="0"/>
          <w:bCs w:val="0"/>
          <w:kern w:val="0"/>
          <w:sz w:val="32"/>
          <w:szCs w:val="32"/>
        </w:rPr>
        <w:t>分。全年预算数为</w:t>
      </w:r>
      <w:r>
        <w:rPr>
          <w:rFonts w:hint="default" w:ascii="Times New Roman" w:hAnsi="Times New Roman" w:eastAsia="仿宋" w:cs="Times New Roman"/>
          <w:b w:val="0"/>
          <w:bCs w:val="0"/>
          <w:kern w:val="0"/>
          <w:sz w:val="32"/>
          <w:szCs w:val="32"/>
          <w:lang w:val="en-US" w:eastAsia="zh-CN"/>
        </w:rPr>
        <w:t>45.83</w:t>
      </w:r>
      <w:r>
        <w:rPr>
          <w:rFonts w:hint="default" w:ascii="Times New Roman" w:hAnsi="Times New Roman" w:eastAsia="仿宋" w:cs="Times New Roman"/>
          <w:b w:val="0"/>
          <w:bCs w:val="0"/>
          <w:kern w:val="0"/>
          <w:sz w:val="32"/>
          <w:szCs w:val="32"/>
        </w:rPr>
        <w:t>万元，执行数为</w:t>
      </w:r>
      <w:r>
        <w:rPr>
          <w:rFonts w:hint="default" w:ascii="Times New Roman" w:hAnsi="Times New Roman" w:eastAsia="仿宋" w:cs="Times New Roman"/>
          <w:b w:val="0"/>
          <w:bCs w:val="0"/>
          <w:kern w:val="0"/>
          <w:sz w:val="32"/>
          <w:szCs w:val="32"/>
          <w:lang w:val="en-US" w:eastAsia="zh-CN"/>
        </w:rPr>
        <w:t>45.83</w:t>
      </w:r>
      <w:r>
        <w:rPr>
          <w:rFonts w:hint="default" w:ascii="Times New Roman" w:hAnsi="Times New Roman" w:eastAsia="仿宋" w:cs="Times New Roman"/>
          <w:b w:val="0"/>
          <w:bCs w:val="0"/>
          <w:kern w:val="0"/>
          <w:sz w:val="32"/>
          <w:szCs w:val="32"/>
        </w:rPr>
        <w:t>万元，完成预算的</w:t>
      </w:r>
      <w:r>
        <w:rPr>
          <w:rFonts w:hint="default" w:ascii="Times New Roman" w:hAnsi="Times New Roman" w:eastAsia="仿宋" w:cs="Times New Roman"/>
          <w:b w:val="0"/>
          <w:bCs w:val="0"/>
          <w:kern w:val="0"/>
          <w:sz w:val="32"/>
          <w:szCs w:val="32"/>
          <w:lang w:val="en-US" w:eastAsia="zh-CN"/>
        </w:rPr>
        <w:t>100</w:t>
      </w:r>
      <w:r>
        <w:rPr>
          <w:rFonts w:hint="default" w:ascii="Times New Roman" w:hAnsi="Times New Roman" w:eastAsia="仿宋" w:cs="Times New Roman"/>
          <w:b w:val="0"/>
          <w:bCs w:val="0"/>
          <w:kern w:val="0"/>
          <w:sz w:val="32"/>
          <w:szCs w:val="32"/>
        </w:rPr>
        <w:t>%。项目绩效目标完成情况：优化信用体系平台。截至目前，盟公共信用信息平台我盟公共信用信息平台已覆盖全盟近368个政府部门，512个用户在“信用中国（内蒙古锡林郭勒）”网站上开通了信用信息报送账号，截至目前共归集数据77万余条，与大数据中心共享数据62万余条，与蒙速办、公共资源交易平台、行政执法公示平台、土地二级交易平台实现接口对接，建立15个领域20个重点人群信用信息档案。发现的主要问题及原因：</w:t>
      </w:r>
      <w:r>
        <w:rPr>
          <w:rFonts w:hint="default" w:ascii="Times New Roman" w:hAnsi="Times New Roman" w:eastAsia="仿宋" w:cs="Times New Roman"/>
          <w:b w:val="0"/>
          <w:bCs w:val="0"/>
          <w:kern w:val="0"/>
          <w:sz w:val="32"/>
          <w:szCs w:val="32"/>
          <w:lang w:eastAsia="zh-CN"/>
        </w:rPr>
        <w:t>无</w:t>
      </w:r>
      <w:r>
        <w:rPr>
          <w:rFonts w:hint="default" w:ascii="Times New Roman" w:hAnsi="Times New Roman" w:eastAsia="仿宋" w:cs="Times New Roman"/>
          <w:b w:val="0"/>
          <w:bCs w:val="0"/>
          <w:kern w:val="0"/>
          <w:sz w:val="32"/>
          <w:szCs w:val="32"/>
        </w:rPr>
        <w:t>。下一步改进措施：按照自治区《关于在全区开展诚信建设工程的实施方案》相关要求，做好诚信建设工程相关工作。开展旗县市（区）政务诚信监测评估和信用培训服务，锡林郭勒盟公共信用信息平台网站安全等保评估工作，不定期举办学习培训、召开相关会议，围绕6.14信用关爱日开展社会信用体系建设宣传活动，创建诚信示范工程，提高我盟社会信用体系建设工作水平。</w:t>
      </w:r>
    </w:p>
    <w:tbl>
      <w:tblPr>
        <w:tblStyle w:val="20"/>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7"/>
        <w:gridCol w:w="876"/>
        <w:gridCol w:w="525"/>
        <w:gridCol w:w="828"/>
        <w:gridCol w:w="517"/>
        <w:gridCol w:w="517"/>
        <w:gridCol w:w="530"/>
        <w:gridCol w:w="530"/>
        <w:gridCol w:w="887"/>
        <w:gridCol w:w="520"/>
        <w:gridCol w:w="84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8336"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40"/>
                <w:szCs w:val="40"/>
                <w:u w:val="none"/>
              </w:rPr>
            </w:pPr>
            <w:r>
              <w:rPr>
                <w:rFonts w:hint="default" w:ascii="Times New Roman" w:hAnsi="Times New Roman" w:eastAsia="宋体" w:cs="Times New Roman"/>
                <w:b w:val="0"/>
                <w:bCs w:val="0"/>
                <w:i w:val="0"/>
                <w:color w:val="000000"/>
                <w:kern w:val="0"/>
                <w:sz w:val="40"/>
                <w:szCs w:val="40"/>
                <w:u w:val="none"/>
                <w:lang w:val="en-US" w:eastAsia="zh-CN" w:bidi="ar"/>
              </w:rPr>
              <w:t>项目支出绩效自评表</w:t>
            </w:r>
            <w:r>
              <w:rPr>
                <w:rFonts w:hint="default" w:ascii="Times New Roman" w:hAnsi="Times New Roman" w:eastAsia="宋体" w:cs="Times New Roman"/>
                <w:b w:val="0"/>
                <w:bCs w:val="0"/>
                <w:i w:val="0"/>
                <w:color w:val="000000"/>
                <w:kern w:val="0"/>
                <w:sz w:val="40"/>
                <w:szCs w:val="40"/>
                <w:u w:val="none"/>
                <w:lang w:val="en-US" w:eastAsia="zh-CN" w:bidi="ar"/>
              </w:rPr>
              <w:br w:type="textWrapping"/>
            </w:r>
            <w:r>
              <w:rPr>
                <w:rFonts w:hint="default" w:ascii="Times New Roman" w:hAnsi="Times New Roman" w:eastAsia="宋体" w:cs="Times New Roman"/>
                <w:b w:val="0"/>
                <w:bCs w:val="0"/>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项目名称</w:t>
            </w:r>
          </w:p>
        </w:tc>
        <w:tc>
          <w:tcPr>
            <w:tcW w:w="6583"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信用大数据基础设施建设暨全盟公共信用信息平台建设项目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主管部门</w:t>
            </w:r>
          </w:p>
        </w:tc>
        <w:tc>
          <w:tcPr>
            <w:tcW w:w="238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锡林郭勒盟发展和改革委员会（部门）</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实施单位</w:t>
            </w:r>
          </w:p>
        </w:tc>
        <w:tc>
          <w:tcPr>
            <w:tcW w:w="31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锡林郭勒盟发展和改革委员会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项目资金</w:t>
            </w:r>
            <w:r>
              <w:rPr>
                <w:rFonts w:hint="default" w:ascii="Times New Roman" w:hAnsi="Times New Roman" w:eastAsia="宋体" w:cs="Times New Roman"/>
                <w:b w:val="0"/>
                <w:bCs w:val="0"/>
                <w:i w:val="0"/>
                <w:color w:val="000000"/>
                <w:kern w:val="0"/>
                <w:sz w:val="18"/>
                <w:szCs w:val="18"/>
                <w:u w:val="none"/>
                <w:lang w:val="en-US" w:eastAsia="zh-CN" w:bidi="ar"/>
              </w:rPr>
              <w:br w:type="textWrapping"/>
            </w: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年初预算数</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全年预算数</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全年执行数</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执行率（%）</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年度资金总额</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其中：财政拨款</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上年结转资金</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其他资金</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222222"/>
                <w:sz w:val="19"/>
                <w:szCs w:val="19"/>
                <w:u w:val="none"/>
              </w:rPr>
            </w:pPr>
            <w:r>
              <w:rPr>
                <w:rFonts w:hint="default" w:ascii="Times New Roman" w:hAnsi="Times New Roman" w:eastAsia="宋体" w:cs="Times New Roman"/>
                <w:b w:val="0"/>
                <w:bCs w:val="0"/>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年度总体目标</w:t>
            </w:r>
          </w:p>
        </w:tc>
        <w:tc>
          <w:tcPr>
            <w:tcW w:w="291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预期目标</w:t>
            </w:r>
          </w:p>
        </w:tc>
        <w:tc>
          <w:tcPr>
            <w:tcW w:w="36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291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完成锡盟公共信用信息平台升级改造，继续优化信用体系平台</w:t>
            </w:r>
          </w:p>
        </w:tc>
        <w:tc>
          <w:tcPr>
            <w:tcW w:w="36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优化信用体系平台。截至目前，盟公共信用信息平台我盟公共信用信息平台已覆盖全盟近368个政府部门，512个用户在“信用中国（内蒙古锡林郭勒）”网站上开通了信用信息报送账号，截至目前共归集数据77万余条，与大数据中心共享数据62万余条，与蒙速办、公共资源交易平台、行政执法公示平台、土地二级交易平台实现接口对接，建立15个领域20个重点人群信用信息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一级指标</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二级指标</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指标性质</w:t>
            </w:r>
          </w:p>
        </w:tc>
        <w:tc>
          <w:tcPr>
            <w:tcW w:w="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指标方向</w:t>
            </w:r>
          </w:p>
        </w:tc>
        <w:tc>
          <w:tcPr>
            <w:tcW w:w="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年度指标值</w:t>
            </w:r>
          </w:p>
        </w:tc>
        <w:tc>
          <w:tcPr>
            <w:tcW w:w="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实际完成值</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计量单位</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分值</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绩效指标</w:t>
            </w:r>
          </w:p>
        </w:tc>
        <w:tc>
          <w:tcPr>
            <w:tcW w:w="8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产出指标</w:t>
            </w:r>
          </w:p>
        </w:tc>
        <w:tc>
          <w:tcPr>
            <w:tcW w:w="5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数量指标</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网站安全等保评估</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年</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学习培训</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次</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宣传</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次</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会议</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lang w:val="en"/>
              </w:rPr>
            </w:pPr>
            <w:r>
              <w:rPr>
                <w:rFonts w:hint="default" w:ascii="Times New Roman" w:hAnsi="Times New Roman" w:eastAsia="宋体" w:cs="Times New Roman"/>
                <w:b w:val="0"/>
                <w:bCs w:val="0"/>
                <w:i w:val="0"/>
                <w:color w:val="000000"/>
                <w:kern w:val="0"/>
                <w:sz w:val="18"/>
                <w:szCs w:val="18"/>
                <w:u w:val="none"/>
                <w:lang w:val="en-US" w:eastAsia="zh-CN" w:bidi="ar"/>
              </w:rPr>
              <w:t>次</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诚信典型奖励</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次</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3</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质量指标</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项目完成率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90</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7</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工作开展率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98</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98</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时效指标</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公共信用信息平台建设工作完成时限</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合同支付时限</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2023年12月底前</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5</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成本指标</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公共信用信息平台建设</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45.83</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万元</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9</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合同支付率</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效益指标</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经济效益</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通过建设公共信用信息平台</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发展社会主义市场经济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发展社会主义市场经济</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16</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16</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社会效益</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通过建设公共信用信息平台</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建设“信用锡林郭勒”</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建设“信用锡林郭勒”</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可持续影响</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通过建设公共信用信息平台</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定性</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促进社会文明建设</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促进社会文明建设</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6</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877"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c>
          <w:tcPr>
            <w:tcW w:w="876"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满意度指标</w:t>
            </w:r>
          </w:p>
        </w:tc>
        <w:tc>
          <w:tcPr>
            <w:tcW w:w="525"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服务对象满意度</w:t>
            </w:r>
          </w:p>
        </w:tc>
        <w:tc>
          <w:tcPr>
            <w:tcW w:w="82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人民群众满意度</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正向</w:t>
            </w:r>
          </w:p>
        </w:tc>
        <w:tc>
          <w:tcPr>
            <w:tcW w:w="51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大于等于</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53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85</w:t>
            </w:r>
          </w:p>
        </w:tc>
        <w:tc>
          <w:tcPr>
            <w:tcW w:w="887"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w:t>
            </w:r>
          </w:p>
        </w:tc>
        <w:tc>
          <w:tcPr>
            <w:tcW w:w="52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4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w:t>
            </w:r>
          </w:p>
        </w:tc>
        <w:tc>
          <w:tcPr>
            <w:tcW w:w="88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6087"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总分</w:t>
            </w: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b w:val="0"/>
                <w:bCs w:val="0"/>
                <w:i w:val="0"/>
                <w:color w:val="000000"/>
                <w:sz w:val="18"/>
                <w:szCs w:val="18"/>
                <w:u w:val="none"/>
              </w:rPr>
            </w:pPr>
            <w:r>
              <w:rPr>
                <w:rFonts w:hint="default" w:ascii="Times New Roman" w:hAnsi="Times New Roman" w:eastAsia="宋体" w:cs="Times New Roman"/>
                <w:b w:val="0"/>
                <w:bCs w:val="0"/>
                <w:i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宋体" w:cs="Times New Roman"/>
                <w:b w:val="0"/>
                <w:bCs w:val="0"/>
                <w:i w:val="0"/>
                <w:color w:val="000000"/>
                <w:sz w:val="18"/>
                <w:szCs w:val="18"/>
                <w:u w:val="none"/>
              </w:rPr>
            </w:pPr>
          </w:p>
        </w:tc>
      </w:tr>
      <w:bookmarkEnd w:id="0"/>
    </w:tbl>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rPr>
      </w:pPr>
      <w:r>
        <w:rPr>
          <w:rFonts w:hint="default" w:ascii="Times New Roman" w:hAnsi="Times New Roman" w:eastAsia="楷体" w:cs="Times New Roman"/>
          <w:b w:val="0"/>
          <w:bCs w:val="0"/>
          <w:kern w:val="0"/>
          <w:sz w:val="32"/>
          <w:szCs w:val="32"/>
        </w:rPr>
        <w:t>（三）</w:t>
      </w:r>
      <w:r>
        <w:rPr>
          <w:rFonts w:hint="default" w:ascii="Times New Roman" w:hAnsi="Times New Roman" w:eastAsia="楷体" w:cs="Times New Roman"/>
          <w:b w:val="0"/>
          <w:bCs w:val="0"/>
          <w:kern w:val="0"/>
          <w:sz w:val="32"/>
          <w:szCs w:val="32"/>
          <w:lang w:val="en"/>
        </w:rPr>
        <w:t>部门</w:t>
      </w:r>
      <w:r>
        <w:rPr>
          <w:rFonts w:hint="default" w:ascii="Times New Roman" w:hAnsi="Times New Roman" w:eastAsia="楷体" w:cs="Times New Roman"/>
          <w:b w:val="0"/>
          <w:bCs w:val="0"/>
          <w:kern w:val="0"/>
          <w:sz w:val="32"/>
          <w:szCs w:val="32"/>
        </w:rPr>
        <w:t>项目绩效评价结果。</w:t>
      </w:r>
      <w:r>
        <w:rPr>
          <w:rFonts w:hint="default" w:ascii="Times New Roman" w:hAnsi="Times New Roman" w:eastAsia="仿宋" w:cs="Times New Roman"/>
          <w:b w:val="0"/>
          <w:bCs w:val="0"/>
          <w:kern w:val="0"/>
          <w:sz w:val="32"/>
          <w:szCs w:val="32"/>
          <w:lang w:eastAsia="zh-CN"/>
        </w:rPr>
        <w:t>无。</w:t>
      </w:r>
    </w:p>
    <w:p>
      <w:pPr>
        <w:pStyle w:val="5"/>
        <w:keepNext w:val="0"/>
        <w:keepLines w:val="0"/>
        <w:pageBreakBefore w:val="0"/>
        <w:widowControl/>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一、财政拨款收入：从同级财政部门取得的各类财政拨款，包括一般公共预算财政拨款、政府性基金预算财政拨款、国有资本经营预算财政拨款。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二、上级补助收入：指事业单位从主管部门和上级单位取得的非财政补助收入。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三、财政专户管理教育收费：指缴入财政专户、实行专项管理的高中以上学费、住宿费、高校委托培养费、函大、电大、夜大及短训班培训费等教育收费。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四、事业收入：指事业单位开展专业业务活动及其辅助活动取得的收入。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五、经营收入：指事业单位在专业业务活动及其辅助活动之外开展非独立核算经营活动取得的收入。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六、附属单位上缴收入：指事业单位取得附属独立核算单位按照有关规定上缴的收入。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七、其他收入：取得的除上述“财政拨款收入”、“上级补助收入”、“事业收入”、“经营收入”、“附属单位上缴收入”等以外的各项收入。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八、使用非财政拨款结余和专用结余：指事业单位按照预算管理要求使用非财政拨款结余和专用结余弥补当年收支差额的数额。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九、年初结转和结余：指单位上年结转本年使用的基本支出结转、项目支出结转和结余、经营结余。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十、结余分配：指事业单位按规定缴纳企业所得税以及从非财政拨款结余或经营结余中提取各类结余的情况。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十一、年末结转和结余资金：指单位结转下年的基本支出结转、项目支出结转和结余、经营结余。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十二、基本支出：指为保障机构正常运转、完成日常工作任务所发生的支出，包括人员经费和公用经费。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十三、项目支出：指在为完成特定的工作任务和事业发展目标所发生的支出。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十四、上缴上级支出：指事业单位按照财政部门和主管部门的规定上缴上级单位的支出。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十五、经营支出：指事业单位在专业业务活动及其辅助活动之外开展非独立核算经营活动发生的支出。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十六、对附属单位补助支出：指事业单位用财政拨款收入之外的收入对附属单位补助发生的支出。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b w:val="0"/>
          <w:bCs w:val="0"/>
          <w:kern w:val="0"/>
          <w:sz w:val="32"/>
          <w:szCs w:val="32"/>
        </w:rPr>
        <w:t>十七、“三公”经费：指</w:t>
      </w:r>
      <w:r>
        <w:rPr>
          <w:rFonts w:hint="default" w:ascii="Times New Roman" w:hAnsi="Times New Roman" w:eastAsia="仿宋" w:cs="Times New Roman"/>
          <w:b w:val="0"/>
          <w:bCs w:val="0"/>
          <w:kern w:val="0"/>
          <w:sz w:val="32"/>
          <w:szCs w:val="32"/>
          <w:lang w:eastAsia="zh-CN"/>
        </w:rPr>
        <w:t>单位</w:t>
      </w:r>
      <w:r>
        <w:rPr>
          <w:rFonts w:hint="default" w:ascii="Times New Roman" w:hAnsi="Times New Roman" w:eastAsia="仿宋" w:cs="Times New Roman"/>
          <w:b w:val="0"/>
          <w:bCs w:val="0"/>
          <w:kern w:val="0"/>
          <w:sz w:val="32"/>
          <w:szCs w:val="32"/>
        </w:rPr>
        <w:t>用财政拨款安排的因公出国（境）费、公务用车购置及运行维</w:t>
      </w:r>
      <w:r>
        <w:rPr>
          <w:rFonts w:hint="default" w:ascii="Times New Roman" w:hAnsi="Times New Roman" w:eastAsia="仿宋" w:cs="Times New Roman"/>
          <w:kern w:val="0"/>
          <w:sz w:val="32"/>
          <w:szCs w:val="32"/>
        </w:rPr>
        <w:t>护费和公务接待费。其中，因公出国（境）费反映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公务出国（境）的国际旅费、国外城市间交通费、住宿费、伙食费、培训费、公杂费等支出；公务用车购置及运行维护费反映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公务用车购置支出（含车辆购置税、牌照费）以及按规定保留的公务用车燃料费、维修费、过路过桥费、保险费、安全奖励费用等支出；公务接待费反映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b w:val="0"/>
          <w:bCs w:val="0"/>
          <w:kern w:val="0"/>
          <w:sz w:val="32"/>
          <w:szCs w:val="32"/>
        </w:rPr>
        <w:t>十八、机构运行经费：指</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keepNext w:val="0"/>
        <w:keepLines w:val="0"/>
        <w:pageBreakBefore w:val="0"/>
        <w:widowControl/>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第四部分</w:t>
      </w:r>
      <w:r>
        <w:rPr>
          <w:rFonts w:hint="default" w:ascii="Times New Roman" w:hAnsi="Times New Roman" w:eastAsia="方正小标宋简体" w:cs="Times New Roman"/>
          <w:b w:val="0"/>
          <w:bCs w:val="0"/>
          <w:kern w:val="0"/>
          <w:sz w:val="32"/>
          <w:szCs w:val="32"/>
          <w:lang w:val="en-US" w:eastAsia="zh-CN"/>
        </w:rPr>
        <w:t xml:space="preserve"> </w:t>
      </w:r>
      <w:r>
        <w:rPr>
          <w:rFonts w:hint="default" w:ascii="Times New Roman" w:hAnsi="Times New Roman" w:eastAsia="方正小标宋简体" w:cs="Times New Roman"/>
          <w:b w:val="0"/>
          <w:bCs w:val="0"/>
          <w:kern w:val="0"/>
          <w:sz w:val="32"/>
          <w:szCs w:val="32"/>
        </w:rPr>
        <w:t>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rPr>
        <w:t>联系人：温都日干          联系电话：0479-</w:t>
      </w:r>
      <w:r>
        <w:rPr>
          <w:rFonts w:hint="default" w:ascii="Times New Roman" w:hAnsi="Times New Roman" w:eastAsia="仿宋" w:cs="Times New Roman"/>
          <w:b w:val="0"/>
          <w:bCs w:val="0"/>
          <w:kern w:val="0"/>
          <w:sz w:val="32"/>
          <w:szCs w:val="32"/>
          <w:lang w:val="en-US" w:eastAsia="zh-CN"/>
        </w:rPr>
        <w:t>8276680</w:t>
      </w: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第五部分</w:t>
      </w:r>
      <w:r>
        <w:rPr>
          <w:rFonts w:hint="default" w:ascii="Times New Roman" w:hAnsi="Times New Roman" w:eastAsia="方正小标宋简体" w:cs="Times New Roman"/>
          <w:b w:val="0"/>
          <w:bCs w:val="0"/>
          <w:kern w:val="0"/>
          <w:sz w:val="32"/>
          <w:szCs w:val="32"/>
          <w:lang w:val="en-US" w:eastAsia="zh-CN"/>
        </w:rPr>
        <w:t xml:space="preserve"> </w:t>
      </w:r>
      <w:r>
        <w:rPr>
          <w:rFonts w:hint="default" w:ascii="Times New Roman" w:hAnsi="Times New Roman" w:eastAsia="方正小标宋简体" w:cs="Times New Roman"/>
          <w:b w:val="0"/>
          <w:bCs w:val="0"/>
          <w:kern w:val="0"/>
          <w:sz w:val="32"/>
          <w:szCs w:val="32"/>
          <w:lang w:val="en"/>
        </w:rPr>
        <w:t>部门</w:t>
      </w:r>
      <w:r>
        <w:rPr>
          <w:rFonts w:hint="default" w:ascii="Times New Roman" w:hAnsi="Times New Roman" w:eastAsia="方正小标宋简体" w:cs="Times New Roman"/>
          <w:b w:val="0"/>
          <w:bCs w:val="0"/>
          <w:kern w:val="0"/>
          <w:sz w:val="32"/>
          <w:szCs w:val="32"/>
        </w:rPr>
        <w:t>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kern w:val="0"/>
          <w:sz w:val="32"/>
          <w:szCs w:val="32"/>
        </w:rPr>
        <w:t>见附件</w:t>
      </w:r>
      <w:r>
        <w:rPr>
          <w:rFonts w:hint="default" w:ascii="Times New Roman" w:hAnsi="Times New Roman" w:eastAsia="仿宋" w:cs="Times New Roman"/>
          <w:b w:val="0"/>
          <w:bCs w:val="0"/>
          <w:kern w:val="0"/>
          <w:sz w:val="32"/>
          <w:szCs w:val="32"/>
          <w:lang w:eastAsia="zh-CN"/>
        </w:rPr>
        <w:t>。</w:t>
      </w:r>
    </w:p>
    <w:sectPr>
      <w:pgSz w:w="11906" w:h="16838"/>
      <w:pgMar w:top="1440" w:right="1800" w:bottom="1440" w:left="180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fang_song_gb2312">
    <w:altName w:val="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5971BCF"/>
    <w:rsid w:val="14000EFC"/>
    <w:rsid w:val="1DAC819A"/>
    <w:rsid w:val="1F572EE8"/>
    <w:rsid w:val="2FAC4310"/>
    <w:rsid w:val="2FCC040F"/>
    <w:rsid w:val="43A7475F"/>
    <w:rsid w:val="57EEECEB"/>
    <w:rsid w:val="69E65D59"/>
    <w:rsid w:val="6CCB4B2F"/>
    <w:rsid w:val="6F6BB83D"/>
    <w:rsid w:val="707C3787"/>
    <w:rsid w:val="71197A02"/>
    <w:rsid w:val="7B7EF830"/>
    <w:rsid w:val="7FB3B000"/>
    <w:rsid w:val="7FD7F9A5"/>
    <w:rsid w:val="9D3E0998"/>
    <w:rsid w:val="AB5F7BDE"/>
    <w:rsid w:val="ABFFB47A"/>
    <w:rsid w:val="BFBF5D93"/>
    <w:rsid w:val="BFEBA1B3"/>
    <w:rsid w:val="BFEF651C"/>
    <w:rsid w:val="DEDF875B"/>
    <w:rsid w:val="DFF14365"/>
    <w:rsid w:val="E36ED6B6"/>
    <w:rsid w:val="EBF10338"/>
    <w:rsid w:val="ECE5D62D"/>
    <w:rsid w:val="FBB9108B"/>
    <w:rsid w:val="FBDF1CB0"/>
    <w:rsid w:val="FD26C454"/>
    <w:rsid w:val="FDB92970"/>
    <w:rsid w:val="FDDF4D45"/>
    <w:rsid w:val="FFBFD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0"/>
    <w:pPr>
      <w:spacing w:after="120" w:afterLines="0" w:afterAutospacing="0"/>
      <w:ind w:left="420" w:leftChars="200"/>
    </w:p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customStyle="1"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customStyle="1"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15</TotalTime>
  <ScaleCrop>false</ScaleCrop>
  <LinksUpToDate>false</LinksUpToDate>
  <CharactersWithSpaces>151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2022-03-25T12:40:00Z</dcterms:created>
  <dc:creator>Administrator</dc:creator>
  <cp:lastModifiedBy>thtf</cp:lastModifiedBy>
  <cp:lastPrinted>2021-04-18T00:45:00Z</cp:lastPrinted>
  <dcterms:modified xsi:type="dcterms:W3CDTF">2024-12-05T09:20:11Z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